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09F2C" w14:textId="77777777" w:rsidR="007F4A24" w:rsidRPr="001C60BE" w:rsidRDefault="007F4A24" w:rsidP="007F4A24">
      <w:pPr>
        <w:pStyle w:val="Ttulo1"/>
        <w:spacing w:after="120"/>
        <w:rPr>
          <w:rFonts w:cs="Arial"/>
          <w:sz w:val="22"/>
          <w:szCs w:val="22"/>
        </w:rPr>
      </w:pPr>
      <w:bookmarkStart w:id="0" w:name="_Toc26183898"/>
      <w:bookmarkStart w:id="1" w:name="_Toc83118026"/>
      <w:bookmarkStart w:id="2" w:name="_Toc90013194"/>
      <w:r w:rsidRPr="001C60BE">
        <w:rPr>
          <w:rFonts w:cs="Arial"/>
          <w:sz w:val="22"/>
          <w:szCs w:val="22"/>
        </w:rPr>
        <w:t>Anexo I - Precios.</w:t>
      </w:r>
      <w:bookmarkEnd w:id="0"/>
      <w:r w:rsidRPr="001C60BE">
        <w:rPr>
          <w:rFonts w:cs="Arial"/>
          <w:sz w:val="22"/>
          <w:szCs w:val="22"/>
        </w:rPr>
        <w:t xml:space="preserve"> </w:t>
      </w:r>
    </w:p>
    <w:p w14:paraId="41372923" w14:textId="77777777" w:rsidR="00672904" w:rsidRPr="001C60BE" w:rsidRDefault="00672904" w:rsidP="00672904">
      <w:pPr>
        <w:numPr>
          <w:ilvl w:val="0"/>
          <w:numId w:val="13"/>
        </w:numPr>
        <w:spacing w:before="0" w:after="0" w:line="360" w:lineRule="auto"/>
        <w:contextualSpacing/>
        <w:jc w:val="both"/>
        <w:rPr>
          <w:rFonts w:cs="Arial"/>
          <w:b/>
        </w:rPr>
      </w:pPr>
      <w:bookmarkStart w:id="3" w:name="_Toc526763595"/>
      <w:r w:rsidRPr="001C60BE">
        <w:rPr>
          <w:rFonts w:cs="Arial"/>
          <w:b/>
        </w:rPr>
        <w:t>Alcance</w:t>
      </w:r>
      <w:bookmarkEnd w:id="3"/>
    </w:p>
    <w:p w14:paraId="7C31E87F" w14:textId="77777777" w:rsidR="002131C4" w:rsidRPr="008A3920" w:rsidRDefault="008A3920" w:rsidP="00AA2DF9">
      <w:pPr>
        <w:autoSpaceDE w:val="0"/>
        <w:autoSpaceDN w:val="0"/>
        <w:adjustRightInd w:val="0"/>
        <w:spacing w:before="0" w:after="0" w:line="240" w:lineRule="auto"/>
        <w:jc w:val="both"/>
        <w:rPr>
          <w:lang w:val="es-ES_tradnl"/>
        </w:rPr>
      </w:pPr>
      <w:r w:rsidRPr="008A3920">
        <w:rPr>
          <w:lang w:val="es-ES_tradnl"/>
        </w:rPr>
        <w:t>El presente anexo forma parte integral del Contrato y establece la retribución a La CONTRATISTA por el servicio especializado de Base Onshore y Servicios Logísticos</w:t>
      </w:r>
      <w:r>
        <w:rPr>
          <w:lang w:val="es-ES_tradnl"/>
        </w:rPr>
        <w:t xml:space="preserve"> </w:t>
      </w:r>
      <w:r w:rsidRPr="008A3920">
        <w:rPr>
          <w:lang w:val="es-ES_tradnl"/>
        </w:rPr>
        <w:t xml:space="preserve">en el Puerto de </w:t>
      </w:r>
      <w:r>
        <w:rPr>
          <w:lang w:val="es-ES_tradnl"/>
        </w:rPr>
        <w:t>Dos Bocas</w:t>
      </w:r>
      <w:r w:rsidRPr="008A3920">
        <w:rPr>
          <w:lang w:val="es-ES_tradnl"/>
        </w:rPr>
        <w:t>,</w:t>
      </w:r>
      <w:r>
        <w:rPr>
          <w:lang w:val="es-ES_tradnl"/>
        </w:rPr>
        <w:t xml:space="preserve"> </w:t>
      </w:r>
      <w:r w:rsidRPr="008A3920">
        <w:rPr>
          <w:lang w:val="es-ES_tradnl"/>
        </w:rPr>
        <w:t xml:space="preserve">Estado de </w:t>
      </w:r>
      <w:r>
        <w:rPr>
          <w:lang w:val="es-ES_tradnl"/>
        </w:rPr>
        <w:t>Tabasco</w:t>
      </w:r>
      <w:r w:rsidRPr="008A3920">
        <w:rPr>
          <w:lang w:val="es-ES_tradnl"/>
        </w:rPr>
        <w:t>.</w:t>
      </w:r>
    </w:p>
    <w:p w14:paraId="21B1469A" w14:textId="77777777" w:rsidR="00C00F18" w:rsidRPr="00005867" w:rsidRDefault="00C00F18" w:rsidP="00C00F18">
      <w:pPr>
        <w:pStyle w:val="Ttulo1"/>
        <w:spacing w:after="120"/>
        <w:rPr>
          <w:rFonts w:cs="Arial"/>
          <w:sz w:val="22"/>
          <w:szCs w:val="22"/>
        </w:rPr>
      </w:pPr>
      <w:r w:rsidRPr="00005867">
        <w:rPr>
          <w:rFonts w:cs="Arial"/>
          <w:sz w:val="22"/>
          <w:szCs w:val="22"/>
        </w:rPr>
        <w:t>DESCRIPCIÓN DE TARIFAS</w:t>
      </w:r>
    </w:p>
    <w:p w14:paraId="28EE3C2B" w14:textId="77777777" w:rsidR="00D76AC0" w:rsidRPr="00D76AC0" w:rsidRDefault="00D76AC0" w:rsidP="00D76AC0">
      <w:pPr>
        <w:jc w:val="both"/>
        <w:rPr>
          <w:lang w:val="es-ES_tradnl"/>
        </w:rPr>
      </w:pPr>
      <w:r w:rsidRPr="00D76AC0">
        <w:rPr>
          <w:lang w:val="es-ES_tradnl"/>
        </w:rPr>
        <w:t>LA EMPRESA pagará al CONTRATISTA por los Servicios que realice sobre la base de la planilla de cotización de este anexo. La tarifa cubrirá todo el alcance establecido en el Contrato y sus Anexos.</w:t>
      </w:r>
    </w:p>
    <w:p w14:paraId="5686F644" w14:textId="77777777" w:rsidR="00D76AC0" w:rsidRPr="00D76AC0" w:rsidRDefault="00D76AC0" w:rsidP="00D76AC0">
      <w:pPr>
        <w:jc w:val="both"/>
        <w:rPr>
          <w:lang w:val="es-ES_tradnl"/>
        </w:rPr>
      </w:pPr>
      <w:r w:rsidRPr="00D76AC0">
        <w:rPr>
          <w:lang w:val="es-ES_tradnl"/>
        </w:rPr>
        <w:t>Se certificará una tarifa diaria correspondiente al suministro y administración de espacio de almacenaje portuario y la administración de cargas a efectos de garantizar el efectivo y eficaz abastecimiento de</w:t>
      </w:r>
      <w:r>
        <w:rPr>
          <w:lang w:val="es-ES_tradnl"/>
        </w:rPr>
        <w:t xml:space="preserve"> instalaciones costa afuera de LA EMPRESA y del GRUPO EMPRESA</w:t>
      </w:r>
      <w:r w:rsidRPr="00D76AC0">
        <w:rPr>
          <w:lang w:val="es-ES_tradnl"/>
        </w:rPr>
        <w:t xml:space="preserve"> y, en general, de cualquier instalación costa afuera </w:t>
      </w:r>
      <w:r w:rsidR="006B1709">
        <w:rPr>
          <w:lang w:val="es-ES_tradnl"/>
        </w:rPr>
        <w:t xml:space="preserve">que LA </w:t>
      </w:r>
      <w:r w:rsidRPr="00D76AC0">
        <w:rPr>
          <w:lang w:val="es-ES_tradnl"/>
        </w:rPr>
        <w:t>EMPRESA</w:t>
      </w:r>
      <w:r w:rsidR="006B1709">
        <w:rPr>
          <w:lang w:val="es-ES_tradnl"/>
        </w:rPr>
        <w:t xml:space="preserve"> solicite</w:t>
      </w:r>
      <w:r w:rsidRPr="00D76AC0">
        <w:rPr>
          <w:lang w:val="es-ES_tradnl"/>
        </w:rPr>
        <w:t>, así como también cualquier servicio portuario requerido para tal fin, según lo establecido en el Anexo II</w:t>
      </w:r>
      <w:r w:rsidR="00702901">
        <w:rPr>
          <w:lang w:val="es-ES_tradnl"/>
        </w:rPr>
        <w:t>.h</w:t>
      </w:r>
      <w:r w:rsidRPr="00D76AC0">
        <w:rPr>
          <w:lang w:val="es-ES_tradnl"/>
        </w:rPr>
        <w:t xml:space="preserve"> “Alcance del Servicio”, incluyendo sin limitación la coordinación logística, supervisión y planificación de la logística de los materiales, herramientas, servicios y personal del GRUPO EMPRESA y del GRUPO CONTRATISTA desde el área portuaria establecida en mismo.</w:t>
      </w:r>
    </w:p>
    <w:p w14:paraId="12A274D5" w14:textId="4462D433" w:rsidR="00D76AC0" w:rsidRPr="00D76AC0" w:rsidRDefault="00D76AC0" w:rsidP="00D76AC0">
      <w:pPr>
        <w:jc w:val="both"/>
        <w:rPr>
          <w:lang w:val="es-ES_tradnl"/>
        </w:rPr>
      </w:pPr>
      <w:r w:rsidRPr="00D76AC0">
        <w:rPr>
          <w:lang w:val="es-ES_tradnl"/>
        </w:rPr>
        <w:t xml:space="preserve">“Puerto de </w:t>
      </w:r>
      <w:r w:rsidR="0062518A">
        <w:rPr>
          <w:lang w:val="es-ES_tradnl"/>
        </w:rPr>
        <w:t>Dos Bocas</w:t>
      </w:r>
      <w:r w:rsidRPr="00D76AC0">
        <w:rPr>
          <w:lang w:val="es-ES_tradnl"/>
        </w:rPr>
        <w:t>”: Desde esta locación se gestionará toda la logística en su conjunto, en un todo acuerdo con el Anexo II</w:t>
      </w:r>
      <w:r w:rsidR="006B5379">
        <w:rPr>
          <w:lang w:val="es-ES_tradnl"/>
        </w:rPr>
        <w:t xml:space="preserve"> </w:t>
      </w:r>
      <w:r w:rsidRPr="00D76AC0">
        <w:rPr>
          <w:lang w:val="es-ES_tradnl"/>
        </w:rPr>
        <w:t>“Alcance del Servicio”.</w:t>
      </w:r>
    </w:p>
    <w:p w14:paraId="7D68D8F4" w14:textId="77777777" w:rsidR="00D76AC0" w:rsidRPr="00D76AC0" w:rsidRDefault="00D76AC0" w:rsidP="00D76AC0">
      <w:pPr>
        <w:jc w:val="both"/>
        <w:rPr>
          <w:lang w:val="es-ES_tradnl"/>
        </w:rPr>
      </w:pPr>
      <w:r w:rsidRPr="00D76AC0">
        <w:rPr>
          <w:lang w:val="es-ES_tradnl"/>
        </w:rPr>
        <w:t>El inicio de certificación de este ítem corresponderá con la primera carga que la EMPRESA deposite en la Base Onshore y terminará en el momento en que se desmovilice la última carga de LA EMPRESA.</w:t>
      </w:r>
    </w:p>
    <w:p w14:paraId="3A581714" w14:textId="52D1FB87" w:rsidR="00670C9D" w:rsidRDefault="00752012" w:rsidP="00670C9D">
      <w:pPr>
        <w:jc w:val="both"/>
        <w:rPr>
          <w:rFonts w:cs="Arial"/>
          <w:lang w:val="es-ES_tradnl" w:eastAsia="es-ES"/>
        </w:rPr>
      </w:pPr>
      <w:r>
        <w:t xml:space="preserve">LA EMPRESA </w:t>
      </w:r>
      <w:r w:rsidR="00AE2F5A">
        <w:t xml:space="preserve">pagará los servicios generados por los </w:t>
      </w:r>
      <w:r w:rsidR="00F849AC">
        <w:t>requerimientos</w:t>
      </w:r>
      <w:r w:rsidR="00AE2F5A">
        <w:t xml:space="preserve"> </w:t>
      </w:r>
      <w:r w:rsidR="0025287B">
        <w:t xml:space="preserve">de </w:t>
      </w:r>
      <w:r w:rsidR="00F849AC">
        <w:t>apoyo</w:t>
      </w:r>
      <w:r w:rsidR="0025287B">
        <w:t xml:space="preserve"> logísticos </w:t>
      </w:r>
      <w:r w:rsidR="00076569">
        <w:t xml:space="preserve">On Call </w:t>
      </w:r>
      <w:r w:rsidR="0025287B">
        <w:t>efectivamente realizados</w:t>
      </w:r>
      <w:r w:rsidR="00DB02A4">
        <w:t xml:space="preserve">, </w:t>
      </w:r>
      <w:r w:rsidR="00670C9D" w:rsidRPr="00D15677">
        <w:rPr>
          <w:rFonts w:cs="Arial"/>
          <w:lang w:val="es-ES_tradnl" w:eastAsia="es-ES"/>
        </w:rPr>
        <w:t xml:space="preserve">según se detalla en el </w:t>
      </w:r>
      <w:r w:rsidR="00076569">
        <w:rPr>
          <w:rFonts w:cs="Arial"/>
          <w:lang w:val="es-ES_tradnl" w:eastAsia="es-ES"/>
        </w:rPr>
        <w:t>“</w:t>
      </w:r>
      <w:r w:rsidR="00670C9D" w:rsidRPr="00D15677">
        <w:rPr>
          <w:rFonts w:cs="Arial"/>
          <w:lang w:val="es-ES_tradnl" w:eastAsia="es-ES"/>
        </w:rPr>
        <w:t xml:space="preserve">Anexo </w:t>
      </w:r>
      <w:r w:rsidR="00670C9D">
        <w:rPr>
          <w:rFonts w:cs="Arial"/>
          <w:lang w:val="es-ES_tradnl" w:eastAsia="es-ES"/>
        </w:rPr>
        <w:t>II</w:t>
      </w:r>
      <w:r w:rsidR="006B5379">
        <w:rPr>
          <w:rFonts w:cs="Arial"/>
          <w:lang w:val="es-ES_tradnl" w:eastAsia="es-ES"/>
        </w:rPr>
        <w:t xml:space="preserve"> </w:t>
      </w:r>
      <w:r w:rsidR="00670C9D">
        <w:rPr>
          <w:rFonts w:cs="Arial"/>
          <w:lang w:val="es-ES_tradnl" w:eastAsia="es-ES"/>
        </w:rPr>
        <w:t>–</w:t>
      </w:r>
      <w:r w:rsidR="00670C9D" w:rsidRPr="00D15677">
        <w:rPr>
          <w:rFonts w:cs="Arial"/>
          <w:lang w:val="es-ES_tradnl" w:eastAsia="es-ES"/>
        </w:rPr>
        <w:t xml:space="preserve"> Alcance</w:t>
      </w:r>
      <w:r w:rsidR="00670C9D">
        <w:rPr>
          <w:rFonts w:cs="Arial"/>
          <w:lang w:val="es-ES_tradnl" w:eastAsia="es-ES"/>
        </w:rPr>
        <w:t xml:space="preserve"> </w:t>
      </w:r>
      <w:r w:rsidR="00670C9D" w:rsidRPr="00D15677">
        <w:rPr>
          <w:rFonts w:cs="Arial"/>
          <w:lang w:val="es-ES_tradnl" w:eastAsia="es-ES"/>
        </w:rPr>
        <w:t>de Servicio</w:t>
      </w:r>
      <w:r w:rsidR="00076569">
        <w:rPr>
          <w:rFonts w:cs="Arial"/>
          <w:lang w:val="es-ES_tradnl" w:eastAsia="es-ES"/>
        </w:rPr>
        <w:t>”</w:t>
      </w:r>
      <w:r w:rsidR="00670C9D" w:rsidRPr="00D15677">
        <w:rPr>
          <w:rFonts w:cs="Arial"/>
          <w:lang w:val="es-ES_tradnl" w:eastAsia="es-ES"/>
        </w:rPr>
        <w:t>.</w:t>
      </w:r>
      <w:r w:rsidR="00670C9D">
        <w:rPr>
          <w:rFonts w:cs="Arial"/>
          <w:lang w:val="es-ES_tradnl" w:eastAsia="es-ES"/>
        </w:rPr>
        <w:t xml:space="preserve"> Para esto, EL CONTRATISTA deberá presentar tarifario</w:t>
      </w:r>
      <w:r w:rsidR="00F85607">
        <w:rPr>
          <w:rFonts w:cs="Arial"/>
          <w:lang w:val="es-ES_tradnl" w:eastAsia="es-ES"/>
        </w:rPr>
        <w:t>.</w:t>
      </w:r>
      <w:r w:rsidR="00670C9D">
        <w:rPr>
          <w:rFonts w:cs="Arial"/>
          <w:lang w:val="es-ES_tradnl" w:eastAsia="es-ES"/>
        </w:rPr>
        <w:t xml:space="preserve"> </w:t>
      </w:r>
    </w:p>
    <w:p w14:paraId="607A3FA4" w14:textId="77777777" w:rsidR="009C4B5D" w:rsidRDefault="00226280" w:rsidP="002045F6">
      <w:pPr>
        <w:autoSpaceDE w:val="0"/>
        <w:autoSpaceDN w:val="0"/>
        <w:adjustRightInd w:val="0"/>
        <w:spacing w:before="0" w:after="0" w:line="240" w:lineRule="auto"/>
        <w:jc w:val="both"/>
      </w:pPr>
      <w:r>
        <w:t xml:space="preserve">El </w:t>
      </w:r>
      <w:r w:rsidR="009C4B5D">
        <w:t xml:space="preserve">CONTRATISTA </w:t>
      </w:r>
      <w:r>
        <w:t xml:space="preserve">deberá presentar el listado </w:t>
      </w:r>
      <w:r w:rsidR="00604870">
        <w:t>del prestador</w:t>
      </w:r>
      <w:r>
        <w:t xml:space="preserve"> de servicios autorizados</w:t>
      </w:r>
      <w:r w:rsidR="002045F6">
        <w:t xml:space="preserve"> por la </w:t>
      </w:r>
      <w:r w:rsidR="004350E0">
        <w:t>A</w:t>
      </w:r>
      <w:r w:rsidR="002045F6">
        <w:t xml:space="preserve">dministración </w:t>
      </w:r>
      <w:r w:rsidR="004350E0">
        <w:t>P</w:t>
      </w:r>
      <w:r w:rsidR="002045F6">
        <w:t>ortuaria</w:t>
      </w:r>
      <w:r w:rsidR="004350E0">
        <w:t xml:space="preserve"> (ASIPONA)</w:t>
      </w:r>
      <w:r w:rsidR="002045F6">
        <w:t>,</w:t>
      </w:r>
      <w:r>
        <w:t xml:space="preserve"> para dar un servicio</w:t>
      </w:r>
      <w:r w:rsidR="00C40F78">
        <w:t xml:space="preserve"> una</w:t>
      </w:r>
      <w:r w:rsidR="004350E0">
        <w:t xml:space="preserve"> B</w:t>
      </w:r>
      <w:r w:rsidR="00C40F78">
        <w:t xml:space="preserve">ase </w:t>
      </w:r>
      <w:r w:rsidR="004350E0">
        <w:t>O</w:t>
      </w:r>
      <w:r w:rsidR="00C40F78">
        <w:t xml:space="preserve">nshore y </w:t>
      </w:r>
      <w:r w:rsidR="004350E0">
        <w:t>S</w:t>
      </w:r>
      <w:r w:rsidR="00C40F78">
        <w:t>ervicios logísticos</w:t>
      </w:r>
      <w:r w:rsidR="00CE5723">
        <w:t xml:space="preserve"> </w:t>
      </w:r>
      <w:r w:rsidR="004350E0">
        <w:t>O</w:t>
      </w:r>
      <w:r w:rsidR="00CE5723">
        <w:t xml:space="preserve">n </w:t>
      </w:r>
      <w:r w:rsidR="004350E0">
        <w:t>C</w:t>
      </w:r>
      <w:r w:rsidR="00CE5723">
        <w:t>all</w:t>
      </w:r>
      <w:r w:rsidR="00C40F78">
        <w:t>.</w:t>
      </w:r>
    </w:p>
    <w:p w14:paraId="4CE86D90" w14:textId="77777777" w:rsidR="002D06C3" w:rsidRDefault="002D06C3" w:rsidP="002D06C3">
      <w:pPr>
        <w:pStyle w:val="Ttulo2"/>
      </w:pPr>
      <w:r>
        <w:t>Descripción de tarifas de la base onshore y servicios logísticos ON CALL</w:t>
      </w:r>
    </w:p>
    <w:p w14:paraId="0BC0183D" w14:textId="77777777" w:rsidR="00CE5723" w:rsidRPr="00B746CB" w:rsidRDefault="00B746CB" w:rsidP="008D789F">
      <w:pPr>
        <w:pStyle w:val="Ttulo3"/>
      </w:pPr>
      <w:r>
        <w:t xml:space="preserve">Tarifa Operativa de la Base Onshore </w:t>
      </w:r>
    </w:p>
    <w:p w14:paraId="636E975A" w14:textId="5F4AF945" w:rsidR="00D25356" w:rsidRDefault="00D25356" w:rsidP="00D25356">
      <w:pPr>
        <w:jc w:val="both"/>
        <w:rPr>
          <w:rFonts w:cs="Arial"/>
          <w:lang w:val="es-ES_tradnl"/>
        </w:rPr>
      </w:pPr>
      <w:r w:rsidRPr="00C66D59">
        <w:rPr>
          <w:rFonts w:cs="Arial"/>
          <w:lang w:val="es-ES_tradnl"/>
        </w:rPr>
        <w:t xml:space="preserve">La “Tarifa Operativa” se certificará por cada hora o fracción proporcional de trabajo operativo normal de la </w:t>
      </w:r>
      <w:r w:rsidR="00490C5E">
        <w:rPr>
          <w:rFonts w:cs="Arial"/>
          <w:lang w:val="es-ES_tradnl"/>
        </w:rPr>
        <w:t>B</w:t>
      </w:r>
      <w:r w:rsidRPr="00C66D59">
        <w:rPr>
          <w:rFonts w:cs="Arial"/>
          <w:lang w:val="es-ES_tradnl"/>
        </w:rPr>
        <w:t xml:space="preserve">ase </w:t>
      </w:r>
      <w:r w:rsidR="00490C5E">
        <w:rPr>
          <w:rFonts w:cs="Arial"/>
          <w:lang w:val="es-ES_tradnl"/>
        </w:rPr>
        <w:t>O</w:t>
      </w:r>
      <w:r w:rsidRPr="00C66D59">
        <w:rPr>
          <w:rFonts w:cs="Arial"/>
          <w:lang w:val="es-ES_tradnl"/>
        </w:rPr>
        <w:t>nshore. El detalle se encuentra en el Anexo II</w:t>
      </w:r>
      <w:r w:rsidR="006B5379">
        <w:rPr>
          <w:rFonts w:cs="Arial"/>
          <w:lang w:val="es-ES_tradnl"/>
        </w:rPr>
        <w:t xml:space="preserve"> </w:t>
      </w:r>
      <w:r w:rsidRPr="00C66D59">
        <w:rPr>
          <w:rFonts w:cs="Arial"/>
          <w:lang w:val="es-ES_tradnl"/>
        </w:rPr>
        <w:t>“Alcance del Servicio”.</w:t>
      </w:r>
    </w:p>
    <w:p w14:paraId="24B14491" w14:textId="77777777" w:rsidR="003B4673" w:rsidRPr="006E5A3C" w:rsidRDefault="003B4673" w:rsidP="008D789F">
      <w:pPr>
        <w:pStyle w:val="Ttulo3"/>
      </w:pPr>
      <w:r>
        <w:lastRenderedPageBreak/>
        <w:t xml:space="preserve">Tarifa operativa de Performance reducido – base Onshore </w:t>
      </w:r>
    </w:p>
    <w:p w14:paraId="3FA04598" w14:textId="77777777" w:rsidR="003B4673" w:rsidRPr="003B4673" w:rsidRDefault="003B4673" w:rsidP="003B4673">
      <w:pPr>
        <w:jc w:val="both"/>
        <w:rPr>
          <w:rFonts w:cs="Arial"/>
          <w:lang w:val="es-ES_tradnl"/>
        </w:rPr>
      </w:pPr>
      <w:r w:rsidRPr="003B4673">
        <w:rPr>
          <w:rFonts w:cs="Arial"/>
          <w:lang w:val="es-ES_tradnl"/>
        </w:rPr>
        <w:t>El valor de esta Tarifa corresponderá al 80% de la Tarifa Operativa de la Base Onshore.</w:t>
      </w:r>
    </w:p>
    <w:p w14:paraId="029AA6AC" w14:textId="4DAD50B5" w:rsidR="003B4673" w:rsidRPr="003B4673" w:rsidRDefault="003B4673" w:rsidP="003B4673">
      <w:pPr>
        <w:jc w:val="both"/>
        <w:rPr>
          <w:rFonts w:cs="Arial"/>
          <w:lang w:val="es-ES_tradnl"/>
        </w:rPr>
      </w:pPr>
      <w:r w:rsidRPr="003B4673">
        <w:rPr>
          <w:rFonts w:cs="Arial"/>
          <w:lang w:val="es-ES_tradnl"/>
        </w:rPr>
        <w:t>Se pagará esta tarifa por cada hora o fracción proporcional de acuerdo con lo indicado en el Anexo II</w:t>
      </w:r>
      <w:r w:rsidR="006B5379">
        <w:rPr>
          <w:rFonts w:cs="Arial"/>
          <w:lang w:val="es-ES_tradnl"/>
        </w:rPr>
        <w:t xml:space="preserve"> </w:t>
      </w:r>
      <w:r w:rsidRPr="003B4673">
        <w:rPr>
          <w:rFonts w:cs="Arial"/>
          <w:lang w:val="es-ES_tradnl"/>
        </w:rPr>
        <w:t>“Alcance del Servicio”.</w:t>
      </w:r>
    </w:p>
    <w:p w14:paraId="01F8CEC8" w14:textId="77777777" w:rsidR="003B4673" w:rsidRPr="003B4673" w:rsidRDefault="003B4673" w:rsidP="003B4673">
      <w:pPr>
        <w:jc w:val="both"/>
        <w:rPr>
          <w:rFonts w:cs="Arial"/>
          <w:lang w:val="es-ES_tradnl"/>
        </w:rPr>
      </w:pPr>
      <w:r w:rsidRPr="003B4673">
        <w:rPr>
          <w:rFonts w:cs="Arial"/>
          <w:lang w:val="es-ES_tradnl"/>
        </w:rPr>
        <w:t>El CONTRATISTA contará con un máximo de 3 horas para la reparación de dicho equipamiento. Durante ese tiempo se certificará la tarifa que corresponda a la maniobra que se esté ejecutando según las demás consideraciones establecidas en este Contrato. Luego de ese plazo, si el desperfecto no se hubiese subsanado, comenzará a aplicar Tarifa Operativa de Performance Reducido de la Base Onshore y servicios logísticos.</w:t>
      </w:r>
    </w:p>
    <w:p w14:paraId="41218E46" w14:textId="77777777" w:rsidR="003B4673" w:rsidRPr="003B4673" w:rsidRDefault="003B4673" w:rsidP="003B4673">
      <w:pPr>
        <w:jc w:val="both"/>
        <w:rPr>
          <w:rFonts w:cs="Arial"/>
          <w:lang w:val="es-ES_tradnl"/>
        </w:rPr>
      </w:pPr>
      <w:r w:rsidRPr="003B4673">
        <w:rPr>
          <w:rFonts w:cs="Arial"/>
          <w:lang w:val="es-ES_tradnl"/>
        </w:rPr>
        <w:t>En caso esta situación perdure por más de 10 días, la tarifa será del 50% de la Tarifa Operativa.</w:t>
      </w:r>
    </w:p>
    <w:p w14:paraId="3F5BE612" w14:textId="77777777" w:rsidR="003B4673" w:rsidRPr="003B4673" w:rsidRDefault="003B4673" w:rsidP="003B4673">
      <w:pPr>
        <w:jc w:val="both"/>
        <w:rPr>
          <w:rFonts w:cs="Arial"/>
          <w:lang w:val="es-ES_tradnl"/>
        </w:rPr>
      </w:pPr>
      <w:r w:rsidRPr="003B4673">
        <w:rPr>
          <w:rFonts w:cs="Arial"/>
          <w:lang w:val="es-ES_tradnl"/>
        </w:rPr>
        <w:t>También se aplicará en los demás casos descriptos específicamente en este Contrato.</w:t>
      </w:r>
    </w:p>
    <w:p w14:paraId="43962026" w14:textId="77777777" w:rsidR="001B7FAE" w:rsidRDefault="001B7FAE" w:rsidP="008D789F">
      <w:pPr>
        <w:pStyle w:val="Ttulo3"/>
      </w:pPr>
      <w:r>
        <w:t>Tarifa Reducida de la Base Onshore</w:t>
      </w:r>
    </w:p>
    <w:p w14:paraId="715C22F3" w14:textId="77777777" w:rsidR="00A379E9" w:rsidRPr="0027570A" w:rsidRDefault="00A379E9" w:rsidP="00A379E9">
      <w:pPr>
        <w:jc w:val="both"/>
        <w:rPr>
          <w:rFonts w:cs="Arial"/>
          <w:lang w:val="es-ES_tradnl"/>
        </w:rPr>
      </w:pPr>
      <w:r w:rsidRPr="0027570A">
        <w:rPr>
          <w:rFonts w:cs="Arial"/>
          <w:lang w:val="es-ES_tradnl"/>
        </w:rPr>
        <w:t>El valor de esta Tarifa corresponderá al 50% de la Tarifa Operativa de la Base Onshore y Servicios Logísticos.</w:t>
      </w:r>
    </w:p>
    <w:p w14:paraId="76B5B99D" w14:textId="0A160EA2" w:rsidR="00A379E9" w:rsidRPr="0027570A" w:rsidRDefault="00A379E9" w:rsidP="00A379E9">
      <w:pPr>
        <w:jc w:val="both"/>
        <w:rPr>
          <w:rFonts w:cs="Arial"/>
          <w:lang w:val="es-ES_tradnl"/>
        </w:rPr>
      </w:pPr>
      <w:r w:rsidRPr="0027570A">
        <w:rPr>
          <w:rFonts w:cs="Arial"/>
          <w:lang w:val="es-ES_tradnl"/>
        </w:rPr>
        <w:t>Se pagará esta tarifa por cada hora o fracción proporcional de acuerdo con lo indicado en el Anexo II “Alcance del Servicio”.</w:t>
      </w:r>
    </w:p>
    <w:p w14:paraId="349EA742" w14:textId="77777777" w:rsidR="00A379E9" w:rsidRPr="0027570A" w:rsidRDefault="00A379E9" w:rsidP="00A379E9">
      <w:pPr>
        <w:jc w:val="both"/>
        <w:rPr>
          <w:rFonts w:cs="Arial"/>
          <w:lang w:val="es-ES_tradnl"/>
        </w:rPr>
      </w:pPr>
      <w:r w:rsidRPr="0027570A">
        <w:rPr>
          <w:rFonts w:cs="Arial"/>
          <w:lang w:val="es-ES_tradnl"/>
        </w:rPr>
        <w:t>El CONTRATISTA contará con un máximo de 3 horas para la reparación de dicho equipamiento. Durante ese tiempo se certificará la tarifa que corresponda a la maniobra que se esté ejecutando según las demás consideraciones establecidas en este Contrato. Luego de ese plazo, si el desperfecto no se hubiese subsanado, comenzará a aplicar Tarifa Reducida de la Base Onshore.</w:t>
      </w:r>
    </w:p>
    <w:p w14:paraId="4583661E" w14:textId="77777777" w:rsidR="00A379E9" w:rsidRPr="0027570A" w:rsidRDefault="00A379E9" w:rsidP="00A379E9">
      <w:pPr>
        <w:jc w:val="both"/>
        <w:rPr>
          <w:rFonts w:cs="Arial"/>
          <w:lang w:val="es-ES_tradnl"/>
        </w:rPr>
      </w:pPr>
      <w:r w:rsidRPr="0027570A">
        <w:rPr>
          <w:rFonts w:cs="Arial"/>
          <w:lang w:val="es-ES_tradnl"/>
        </w:rPr>
        <w:t xml:space="preserve">En caso esta situación perdure por más de </w:t>
      </w:r>
      <w:r w:rsidR="00B1317A">
        <w:rPr>
          <w:rFonts w:cs="Arial"/>
          <w:lang w:val="es-ES_tradnl"/>
        </w:rPr>
        <w:t>10</w:t>
      </w:r>
      <w:r w:rsidRPr="0027570A">
        <w:rPr>
          <w:rFonts w:cs="Arial"/>
          <w:lang w:val="es-ES_tradnl"/>
        </w:rPr>
        <w:t xml:space="preserve"> </w:t>
      </w:r>
      <w:r>
        <w:rPr>
          <w:rFonts w:cs="Arial"/>
          <w:lang w:val="es-ES_tradnl"/>
        </w:rPr>
        <w:t>días naturales</w:t>
      </w:r>
      <w:r w:rsidRPr="0027570A">
        <w:rPr>
          <w:rFonts w:cs="Arial"/>
          <w:lang w:val="es-ES_tradnl"/>
        </w:rPr>
        <w:t>, la tarifa será sin cargo.</w:t>
      </w:r>
    </w:p>
    <w:p w14:paraId="5CF17040" w14:textId="77777777" w:rsidR="00A379E9" w:rsidRPr="0027570A" w:rsidRDefault="00A379E9" w:rsidP="00A379E9">
      <w:pPr>
        <w:jc w:val="both"/>
        <w:rPr>
          <w:rFonts w:cs="Arial"/>
          <w:lang w:val="es-ES_tradnl"/>
        </w:rPr>
      </w:pPr>
      <w:r w:rsidRPr="0027570A">
        <w:rPr>
          <w:rFonts w:cs="Arial"/>
          <w:lang w:val="es-ES_tradnl"/>
        </w:rPr>
        <w:t>También se aplicará en los demás casos descriptos específicamente en este Contrato.</w:t>
      </w:r>
    </w:p>
    <w:p w14:paraId="356C41E9" w14:textId="77777777" w:rsidR="00745B4C" w:rsidRDefault="00745B4C" w:rsidP="00745B4C">
      <w:pPr>
        <w:pStyle w:val="Ttulo3"/>
      </w:pPr>
      <w:r>
        <w:t>Tarifa sin cargo de la Base Onshore</w:t>
      </w:r>
    </w:p>
    <w:p w14:paraId="15294863" w14:textId="77777777" w:rsidR="00745B4C" w:rsidRPr="0027570A" w:rsidRDefault="00745B4C" w:rsidP="00745B4C">
      <w:pPr>
        <w:jc w:val="both"/>
        <w:rPr>
          <w:rFonts w:cs="Arial"/>
          <w:lang w:val="es-ES_tradnl"/>
        </w:rPr>
      </w:pPr>
      <w:r w:rsidRPr="0027570A">
        <w:rPr>
          <w:rFonts w:cs="Arial"/>
          <w:lang w:val="es-ES_tradnl"/>
        </w:rPr>
        <w:t xml:space="preserve">Se considerarán sin cargo cualquier hora o fracción proporcional que la </w:t>
      </w:r>
      <w:r w:rsidR="00327C75">
        <w:rPr>
          <w:rFonts w:cs="Arial"/>
          <w:lang w:val="es-ES_tradnl"/>
        </w:rPr>
        <w:t>B</w:t>
      </w:r>
      <w:r>
        <w:rPr>
          <w:rFonts w:cs="Arial"/>
          <w:lang w:val="es-ES_tradnl"/>
        </w:rPr>
        <w:t xml:space="preserve">ase </w:t>
      </w:r>
      <w:r w:rsidR="00327C75">
        <w:rPr>
          <w:rFonts w:cs="Arial"/>
          <w:lang w:val="es-ES_tradnl"/>
        </w:rPr>
        <w:t>O</w:t>
      </w:r>
      <w:r>
        <w:rPr>
          <w:rFonts w:cs="Arial"/>
          <w:lang w:val="es-ES_tradnl"/>
        </w:rPr>
        <w:t>nshore y los servicios logísticos</w:t>
      </w:r>
      <w:r w:rsidRPr="0027570A">
        <w:rPr>
          <w:rFonts w:cs="Arial"/>
          <w:lang w:val="es-ES_tradnl"/>
        </w:rPr>
        <w:t xml:space="preserve"> detenga sus actividades por razones atribuibles al CONTRATISTA.</w:t>
      </w:r>
    </w:p>
    <w:p w14:paraId="6BCAAF0A" w14:textId="70094DAE" w:rsidR="00745B4C" w:rsidRPr="0027570A" w:rsidRDefault="00745B4C" w:rsidP="00745B4C">
      <w:pPr>
        <w:jc w:val="both"/>
        <w:rPr>
          <w:rFonts w:cs="Arial"/>
          <w:lang w:val="es-ES_tradnl"/>
        </w:rPr>
      </w:pPr>
      <w:r w:rsidRPr="0027570A">
        <w:rPr>
          <w:rFonts w:cs="Arial"/>
          <w:lang w:val="es-ES_tradnl"/>
        </w:rPr>
        <w:t>Adicional a lo especificado en el Anexo II</w:t>
      </w:r>
      <w:r w:rsidR="006B5379">
        <w:rPr>
          <w:rFonts w:cs="Arial"/>
          <w:lang w:val="es-ES_tradnl"/>
        </w:rPr>
        <w:t xml:space="preserve"> </w:t>
      </w:r>
      <w:r w:rsidRPr="0027570A">
        <w:rPr>
          <w:rFonts w:cs="Arial"/>
          <w:lang w:val="es-ES_tradnl"/>
        </w:rPr>
        <w:t xml:space="preserve">– Alcance de Servicio, se citan algunos casos a modo de ejemplo y sin limitación, cuando los mismos imposibiliten continuar con </w:t>
      </w:r>
      <w:r>
        <w:rPr>
          <w:rFonts w:cs="Arial"/>
          <w:lang w:val="es-ES_tradnl"/>
        </w:rPr>
        <w:t>el flujo logístico y las operaciones de las instalaciones costa afuera de LA EMPRESA y GRUPO EMPRESA</w:t>
      </w:r>
      <w:r w:rsidRPr="0027570A">
        <w:rPr>
          <w:rFonts w:cs="Arial"/>
          <w:lang w:val="es-ES_tradnl"/>
        </w:rPr>
        <w:t>:</w:t>
      </w:r>
    </w:p>
    <w:p w14:paraId="59AA11DC" w14:textId="77777777" w:rsidR="00745B4C" w:rsidRPr="00623F7C" w:rsidRDefault="00745B4C" w:rsidP="00623F7C">
      <w:pPr>
        <w:pStyle w:val="Prrafodelista"/>
        <w:numPr>
          <w:ilvl w:val="0"/>
          <w:numId w:val="21"/>
        </w:numPr>
        <w:spacing w:before="0" w:after="160" w:line="259" w:lineRule="auto"/>
        <w:jc w:val="both"/>
        <w:rPr>
          <w:rFonts w:cs="Arial"/>
          <w:lang w:val="es-VE"/>
        </w:rPr>
      </w:pPr>
      <w:r w:rsidRPr="00623F7C">
        <w:rPr>
          <w:rFonts w:cs="Arial"/>
          <w:lang w:val="es-VE"/>
        </w:rPr>
        <w:t>Rotura de Equipamiento que imposibiliten continuar con la Operación.</w:t>
      </w:r>
    </w:p>
    <w:p w14:paraId="6C7C0F3E" w14:textId="77777777" w:rsidR="00745B4C" w:rsidRPr="00623F7C" w:rsidRDefault="00745B4C" w:rsidP="00623F7C">
      <w:pPr>
        <w:pStyle w:val="Prrafodelista"/>
        <w:numPr>
          <w:ilvl w:val="0"/>
          <w:numId w:val="21"/>
        </w:numPr>
        <w:spacing w:before="0" w:after="160" w:line="259" w:lineRule="auto"/>
        <w:jc w:val="both"/>
        <w:rPr>
          <w:rFonts w:cs="Arial"/>
          <w:lang w:val="es-VE"/>
        </w:rPr>
      </w:pPr>
      <w:r w:rsidRPr="00623F7C">
        <w:rPr>
          <w:rFonts w:cs="Arial"/>
          <w:lang w:val="es-VE"/>
        </w:rPr>
        <w:t>Espera de herramientas y/o materiales que hayan sido consideradas en el alcance del Contrato.</w:t>
      </w:r>
    </w:p>
    <w:p w14:paraId="6E61B40F" w14:textId="77777777" w:rsidR="00745B4C" w:rsidRPr="00623F7C" w:rsidRDefault="00745B4C" w:rsidP="00623F7C">
      <w:pPr>
        <w:pStyle w:val="Prrafodelista"/>
        <w:numPr>
          <w:ilvl w:val="0"/>
          <w:numId w:val="21"/>
        </w:numPr>
        <w:spacing w:before="0" w:after="160" w:line="259" w:lineRule="auto"/>
        <w:jc w:val="both"/>
        <w:rPr>
          <w:rFonts w:cs="Arial"/>
          <w:lang w:val="es-VE"/>
        </w:rPr>
      </w:pPr>
      <w:r w:rsidRPr="00623F7C">
        <w:rPr>
          <w:rFonts w:cs="Arial"/>
          <w:lang w:val="es-VE"/>
        </w:rPr>
        <w:lastRenderedPageBreak/>
        <w:t>Espera de herramientas y/o materiales cedidos en custodia al CONTRATISTA por parte de la EMPRESA.</w:t>
      </w:r>
    </w:p>
    <w:p w14:paraId="35458B13" w14:textId="77777777" w:rsidR="00745B4C" w:rsidRPr="00623F7C" w:rsidRDefault="00745B4C" w:rsidP="00623F7C">
      <w:pPr>
        <w:pStyle w:val="Prrafodelista"/>
        <w:numPr>
          <w:ilvl w:val="0"/>
          <w:numId w:val="21"/>
        </w:numPr>
        <w:spacing w:before="0" w:after="160" w:line="259" w:lineRule="auto"/>
        <w:jc w:val="both"/>
        <w:rPr>
          <w:rFonts w:cs="Arial"/>
          <w:lang w:val="es-VE"/>
        </w:rPr>
      </w:pPr>
      <w:r w:rsidRPr="00623F7C">
        <w:rPr>
          <w:rFonts w:cs="Arial"/>
          <w:lang w:val="es-VE"/>
        </w:rPr>
        <w:t xml:space="preserve">Espera de materiales, productos, herramientas o elementos de terceros, entregados por el GRUPO EMPRESA al CONTRATISTA con un tiempo mínimo de 3 (tres) días al requerido por la Operación para el cumplimiento del Programa </w:t>
      </w:r>
      <w:r w:rsidR="004C69B6" w:rsidRPr="00623F7C">
        <w:rPr>
          <w:rFonts w:cs="Arial"/>
          <w:lang w:val="es-VE"/>
        </w:rPr>
        <w:t xml:space="preserve">Logístico </w:t>
      </w:r>
      <w:r w:rsidRPr="00623F7C">
        <w:rPr>
          <w:rFonts w:cs="Arial"/>
          <w:lang w:val="es-VE"/>
        </w:rPr>
        <w:t>y el look ahead de las operaciones costa afuera, para su coordinación y envío offshore.</w:t>
      </w:r>
    </w:p>
    <w:p w14:paraId="47F539D5" w14:textId="77777777" w:rsidR="00745B4C" w:rsidRPr="00623F7C" w:rsidRDefault="00745B4C" w:rsidP="00623F7C">
      <w:pPr>
        <w:pStyle w:val="Prrafodelista"/>
        <w:numPr>
          <w:ilvl w:val="0"/>
          <w:numId w:val="21"/>
        </w:numPr>
        <w:spacing w:before="0" w:after="160" w:line="259" w:lineRule="auto"/>
        <w:jc w:val="both"/>
        <w:rPr>
          <w:rFonts w:cs="Arial"/>
          <w:lang w:val="es-VE"/>
        </w:rPr>
      </w:pPr>
      <w:r w:rsidRPr="00623F7C">
        <w:rPr>
          <w:rFonts w:cs="Arial"/>
          <w:lang w:val="es-VE"/>
        </w:rPr>
        <w:t xml:space="preserve">Interrupción de operaciones </w:t>
      </w:r>
      <w:r w:rsidR="00686BB0" w:rsidRPr="00623F7C">
        <w:rPr>
          <w:rFonts w:cs="Arial"/>
          <w:lang w:val="es-VE"/>
        </w:rPr>
        <w:t xml:space="preserve">en </w:t>
      </w:r>
      <w:r w:rsidR="004C69B6" w:rsidRPr="00623F7C">
        <w:rPr>
          <w:rFonts w:cs="Arial"/>
          <w:lang w:val="es-VE"/>
        </w:rPr>
        <w:t>las instalaciones</w:t>
      </w:r>
      <w:r w:rsidR="00686BB0" w:rsidRPr="00623F7C">
        <w:rPr>
          <w:rFonts w:cs="Arial"/>
          <w:lang w:val="es-VE"/>
        </w:rPr>
        <w:t xml:space="preserve"> costa afuera </w:t>
      </w:r>
      <w:r w:rsidRPr="00623F7C">
        <w:rPr>
          <w:rFonts w:cs="Arial"/>
          <w:lang w:val="es-VE"/>
        </w:rPr>
        <w:t xml:space="preserve">de LA EMPRESA, por razones atribuibles a la </w:t>
      </w:r>
      <w:r w:rsidR="00686BB0" w:rsidRPr="00623F7C">
        <w:rPr>
          <w:rFonts w:cs="Arial"/>
          <w:lang w:val="es-VE"/>
        </w:rPr>
        <w:t xml:space="preserve">administración de la Base Onshore, la gestión </w:t>
      </w:r>
      <w:r w:rsidRPr="00623F7C">
        <w:rPr>
          <w:rFonts w:cs="Arial"/>
          <w:lang w:val="es-VE"/>
        </w:rPr>
        <w:t>logística y operaciones por parte del CONTRATISTA.</w:t>
      </w:r>
    </w:p>
    <w:p w14:paraId="25B889BB" w14:textId="77777777" w:rsidR="00826D13" w:rsidRDefault="00826D13" w:rsidP="00826D13">
      <w:pPr>
        <w:pStyle w:val="Ttulo2"/>
      </w:pPr>
      <w:r>
        <w:t xml:space="preserve">descripción de tarifas de servicios adicionales </w:t>
      </w:r>
    </w:p>
    <w:p w14:paraId="33888D3F" w14:textId="77777777" w:rsidR="00826D13" w:rsidRDefault="00826D13" w:rsidP="00826D13">
      <w:pPr>
        <w:pStyle w:val="Ttulo3"/>
      </w:pPr>
      <w:r>
        <w:t>servicios logísticos en puertos alternos</w:t>
      </w:r>
    </w:p>
    <w:p w14:paraId="189F7A36" w14:textId="0CF693E1" w:rsidR="00826D13" w:rsidRPr="00DD13AC" w:rsidRDefault="00826D13" w:rsidP="00826D13">
      <w:pPr>
        <w:jc w:val="both"/>
        <w:rPr>
          <w:rFonts w:cs="Arial"/>
          <w:lang w:val="es-ES_tradnl"/>
        </w:rPr>
      </w:pPr>
      <w:r w:rsidRPr="00DD13AC">
        <w:rPr>
          <w:rFonts w:cs="Arial"/>
          <w:lang w:val="es-ES_tradnl"/>
        </w:rPr>
        <w:t>Según se detalla en el Anexo II – Alcance de Servicio, únicamente se pagará los gastos adicionales efectivamente realizados por la ejecución del soporte de servicios logísticos en puertos alternos durante el tiempo que dure el contrato. EL CONTRATISTA deberá presentar la evidencia que demuestre lo realmente realizado.</w:t>
      </w:r>
    </w:p>
    <w:p w14:paraId="392038AB" w14:textId="77777777" w:rsidR="00826D13" w:rsidRPr="00623F7C" w:rsidRDefault="00826D13" w:rsidP="00623F7C">
      <w:pPr>
        <w:spacing w:before="0" w:after="160" w:line="259" w:lineRule="auto"/>
        <w:jc w:val="both"/>
        <w:rPr>
          <w:rFonts w:cs="Arial"/>
          <w:lang w:val="es-VE"/>
        </w:rPr>
      </w:pPr>
      <w:r w:rsidRPr="00623F7C">
        <w:rPr>
          <w:rFonts w:cs="Arial"/>
          <w:lang w:val="es-VE"/>
        </w:rPr>
        <w:t>Este ítem considera el uso de lo siguiente como mínimo:</w:t>
      </w:r>
    </w:p>
    <w:p w14:paraId="242AC3CD" w14:textId="77777777" w:rsidR="00826D13" w:rsidRPr="00623F7C" w:rsidRDefault="00826D13" w:rsidP="00623F7C">
      <w:pPr>
        <w:pStyle w:val="Prrafodelista"/>
        <w:numPr>
          <w:ilvl w:val="0"/>
          <w:numId w:val="21"/>
        </w:numPr>
        <w:spacing w:before="0" w:after="160" w:line="259" w:lineRule="auto"/>
        <w:jc w:val="both"/>
        <w:rPr>
          <w:rFonts w:cs="Arial"/>
          <w:lang w:val="es-VE"/>
        </w:rPr>
      </w:pPr>
      <w:r w:rsidRPr="00623F7C">
        <w:rPr>
          <w:rFonts w:cs="Arial"/>
          <w:lang w:val="es-VE"/>
        </w:rPr>
        <w:t xml:space="preserve">Grúa </w:t>
      </w:r>
    </w:p>
    <w:p w14:paraId="17A6547C" w14:textId="77777777" w:rsidR="00826D13" w:rsidRPr="00623F7C" w:rsidRDefault="00826D13" w:rsidP="00623F7C">
      <w:pPr>
        <w:pStyle w:val="Prrafodelista"/>
        <w:numPr>
          <w:ilvl w:val="0"/>
          <w:numId w:val="21"/>
        </w:numPr>
        <w:spacing w:before="0" w:after="160" w:line="259" w:lineRule="auto"/>
        <w:jc w:val="both"/>
        <w:rPr>
          <w:rFonts w:cs="Arial"/>
          <w:lang w:val="es-VE"/>
        </w:rPr>
      </w:pPr>
      <w:r w:rsidRPr="00623F7C">
        <w:rPr>
          <w:rFonts w:cs="Arial"/>
          <w:lang w:val="es-VE"/>
        </w:rPr>
        <w:t>Cabo de maniobras</w:t>
      </w:r>
    </w:p>
    <w:p w14:paraId="6303D7AF" w14:textId="77777777" w:rsidR="00826D13" w:rsidRPr="00623F7C" w:rsidRDefault="00826D13" w:rsidP="00623F7C">
      <w:pPr>
        <w:pStyle w:val="Prrafodelista"/>
        <w:numPr>
          <w:ilvl w:val="0"/>
          <w:numId w:val="21"/>
        </w:numPr>
        <w:spacing w:before="0" w:after="160" w:line="259" w:lineRule="auto"/>
        <w:jc w:val="both"/>
        <w:rPr>
          <w:rFonts w:cs="Arial"/>
          <w:lang w:val="es-VE"/>
        </w:rPr>
      </w:pPr>
      <w:r w:rsidRPr="00623F7C">
        <w:rPr>
          <w:rFonts w:cs="Arial"/>
          <w:lang w:val="es-VE"/>
        </w:rPr>
        <w:t xml:space="preserve">Maniobristas </w:t>
      </w:r>
    </w:p>
    <w:p w14:paraId="25764F15" w14:textId="77777777" w:rsidR="00826D13" w:rsidRDefault="00826D13" w:rsidP="00826D13">
      <w:pPr>
        <w:pStyle w:val="Textoindependiente"/>
        <w:spacing w:before="1" w:line="276" w:lineRule="auto"/>
        <w:ind w:left="0" w:right="352"/>
        <w:jc w:val="both"/>
        <w:rPr>
          <w:lang w:val="es-MX"/>
        </w:rPr>
      </w:pPr>
      <w:r>
        <w:rPr>
          <w:lang w:val="es-MX"/>
        </w:rPr>
        <w:t>Los mismos deberán ser autorizados en las terminales marítimas de los puertos alternos.</w:t>
      </w:r>
    </w:p>
    <w:p w14:paraId="46C4B1CB" w14:textId="77777777" w:rsidR="00826D13" w:rsidRDefault="00826D13" w:rsidP="00826D13">
      <w:pPr>
        <w:pStyle w:val="Ttulo3"/>
      </w:pPr>
      <w:r>
        <w:t>canastillas de transporte offshore</w:t>
      </w:r>
    </w:p>
    <w:p w14:paraId="02E5986F" w14:textId="4F01F3EC" w:rsidR="00826D13" w:rsidRPr="00DD13AC" w:rsidRDefault="00826D13" w:rsidP="00826D13">
      <w:pPr>
        <w:jc w:val="both"/>
        <w:rPr>
          <w:rFonts w:cs="Arial"/>
          <w:lang w:val="es-ES_tradnl"/>
        </w:rPr>
      </w:pPr>
      <w:r w:rsidRPr="00DD13AC">
        <w:rPr>
          <w:rFonts w:cs="Arial"/>
          <w:lang w:val="es-ES_tradnl"/>
        </w:rPr>
        <w:t>Según se detalla en el Anexo I</w:t>
      </w:r>
      <w:r w:rsidR="006B5379">
        <w:rPr>
          <w:rFonts w:cs="Arial"/>
          <w:lang w:val="es-ES_tradnl"/>
        </w:rPr>
        <w:t>I</w:t>
      </w:r>
      <w:r w:rsidRPr="00DD13AC">
        <w:rPr>
          <w:rFonts w:cs="Arial"/>
          <w:lang w:val="es-ES_tradnl"/>
        </w:rPr>
        <w:t xml:space="preserve"> – Alcance de Servicio, únicamente se pagará los gastos adicionales efectivamente realizados por la ejecución del soporte de provisión de canastillas con aditamentos de izajes y grilletes certificadas y aprobadas por la empresa para el transporte offshore durante el tiempo que dure el contrato. EL CONTRATISTA deberá presentar la evidencia que demuestre lo realmente realizado.</w:t>
      </w:r>
    </w:p>
    <w:p w14:paraId="3D158C14" w14:textId="77777777" w:rsidR="00826D13" w:rsidRDefault="00826D13" w:rsidP="00144F10">
      <w:pPr>
        <w:jc w:val="both"/>
        <w:rPr>
          <w:lang w:val="es-MX"/>
        </w:rPr>
      </w:pPr>
      <w:r w:rsidRPr="00DD13AC">
        <w:rPr>
          <w:rFonts w:cs="Arial"/>
          <w:lang w:val="es-ES_tradnl"/>
        </w:rPr>
        <w:t>Este ítem considera el uso de lo siguiente como mínimo:</w:t>
      </w:r>
    </w:p>
    <w:p w14:paraId="7EABA61E" w14:textId="77777777" w:rsidR="00826D13" w:rsidRPr="00144F10" w:rsidRDefault="00826D13" w:rsidP="00144F10">
      <w:pPr>
        <w:pStyle w:val="Prrafodelista"/>
        <w:numPr>
          <w:ilvl w:val="0"/>
          <w:numId w:val="21"/>
        </w:numPr>
        <w:spacing w:before="0" w:after="160" w:line="259" w:lineRule="auto"/>
        <w:jc w:val="both"/>
        <w:rPr>
          <w:rFonts w:cs="Arial"/>
          <w:lang w:val="es-VE"/>
        </w:rPr>
      </w:pPr>
      <w:r w:rsidRPr="00144F10">
        <w:rPr>
          <w:rFonts w:cs="Arial"/>
          <w:lang w:val="es-VE"/>
        </w:rPr>
        <w:t>Canastilla de 10 pies con aditamentos de izaje y grilletes</w:t>
      </w:r>
    </w:p>
    <w:p w14:paraId="1A10CF5A" w14:textId="77777777" w:rsidR="00826D13" w:rsidRPr="00144F10" w:rsidRDefault="00826D13" w:rsidP="00144F10">
      <w:pPr>
        <w:pStyle w:val="Prrafodelista"/>
        <w:numPr>
          <w:ilvl w:val="0"/>
          <w:numId w:val="21"/>
        </w:numPr>
        <w:spacing w:before="0" w:after="160" w:line="259" w:lineRule="auto"/>
        <w:jc w:val="both"/>
        <w:rPr>
          <w:rFonts w:cs="Arial"/>
          <w:lang w:val="es-VE"/>
        </w:rPr>
      </w:pPr>
      <w:r w:rsidRPr="00144F10">
        <w:rPr>
          <w:rFonts w:cs="Arial"/>
          <w:lang w:val="es-VE"/>
        </w:rPr>
        <w:t>Canastilla de 20 pies con aditamentos de izaje y grilletes</w:t>
      </w:r>
    </w:p>
    <w:p w14:paraId="11EF6C51" w14:textId="77777777" w:rsidR="00D82BCC" w:rsidRDefault="00D82BCC" w:rsidP="00D82BCC">
      <w:pPr>
        <w:pStyle w:val="Ttulo3"/>
        <w:numPr>
          <w:ilvl w:val="2"/>
          <w:numId w:val="17"/>
        </w:numPr>
      </w:pPr>
      <w:r>
        <w:t>Rack metalico de transporte offshore</w:t>
      </w:r>
    </w:p>
    <w:p w14:paraId="291B10E1" w14:textId="6B520CF7" w:rsidR="000E0AAA" w:rsidRPr="00DD13AC" w:rsidRDefault="000E0AAA" w:rsidP="000E0AAA">
      <w:pPr>
        <w:jc w:val="both"/>
        <w:rPr>
          <w:rFonts w:cs="Arial"/>
          <w:lang w:val="es-ES_tradnl"/>
        </w:rPr>
      </w:pPr>
      <w:r w:rsidRPr="00DD13AC">
        <w:rPr>
          <w:rFonts w:cs="Arial"/>
          <w:lang w:val="es-ES_tradnl"/>
        </w:rPr>
        <w:t xml:space="preserve">Según se detalla en el Anexo II – Alcance de Servicio, únicamente se pagará los gastos adicionales efectivamente realizados por la ejecución del soporte de provisión de </w:t>
      </w:r>
      <w:r>
        <w:rPr>
          <w:rFonts w:cs="Arial"/>
          <w:lang w:val="es-ES_tradnl"/>
        </w:rPr>
        <w:t xml:space="preserve">rack </w:t>
      </w:r>
      <w:r w:rsidR="00623F7C">
        <w:rPr>
          <w:rFonts w:cs="Arial"/>
          <w:lang w:val="es-ES_tradnl"/>
        </w:rPr>
        <w:t>metálicos</w:t>
      </w:r>
      <w:r w:rsidRPr="00DD13AC">
        <w:rPr>
          <w:rFonts w:cs="Arial"/>
          <w:lang w:val="es-ES_tradnl"/>
        </w:rPr>
        <w:t xml:space="preserve"> con aditamentos de izajes y grilletes certificadas y aprobadas por la empresa para </w:t>
      </w:r>
      <w:r w:rsidRPr="00DD13AC">
        <w:rPr>
          <w:rFonts w:cs="Arial"/>
          <w:lang w:val="es-ES_tradnl"/>
        </w:rPr>
        <w:lastRenderedPageBreak/>
        <w:t>el transporte offshore durante el tiempo que dure el contrato. EL CONTRATISTA deberá presentar la evidencia que demuestre lo realmente realizado.</w:t>
      </w:r>
    </w:p>
    <w:p w14:paraId="0E635D16" w14:textId="77777777" w:rsidR="00826D13" w:rsidRDefault="00826D13" w:rsidP="00826D13">
      <w:pPr>
        <w:pStyle w:val="Ttulo3"/>
      </w:pPr>
      <w:r>
        <w:t xml:space="preserve">agenciamiento </w:t>
      </w:r>
    </w:p>
    <w:p w14:paraId="14F6C433" w14:textId="44F9EDE2" w:rsidR="00826D13" w:rsidRPr="00DD13AC" w:rsidRDefault="00826D13" w:rsidP="00826D13">
      <w:pPr>
        <w:jc w:val="both"/>
        <w:rPr>
          <w:rFonts w:cs="Arial"/>
          <w:lang w:val="es-ES_tradnl"/>
        </w:rPr>
      </w:pPr>
      <w:r w:rsidRPr="00DD13AC">
        <w:rPr>
          <w:rFonts w:cs="Arial"/>
          <w:lang w:val="es-ES_tradnl"/>
        </w:rPr>
        <w:t>Según se detalla en el Anexo II – Alcance de Servicio, únicamente se pagará los gastos efectivamente realizados por la ejecución de la operación de las embarcaciones el tiempo que dure el contrato, de manera adicional y a solicitud expresa de LA EMPRESA. EL CONTRATISTA deberá presentar la evidencia que demuestre lo realmente gastado por las embarcaciones objeto del contrato, tales como, facturas, reportes, remitos, etc. de los siguientes servicios de manera no limitativa sino enunciativa:</w:t>
      </w:r>
    </w:p>
    <w:p w14:paraId="59D19CA3" w14:textId="77777777" w:rsidR="00826D13" w:rsidRPr="00144F10" w:rsidRDefault="00826D13" w:rsidP="00144F10">
      <w:pPr>
        <w:pStyle w:val="Prrafodelista"/>
        <w:numPr>
          <w:ilvl w:val="0"/>
          <w:numId w:val="21"/>
        </w:numPr>
        <w:spacing w:before="0" w:after="160" w:line="259" w:lineRule="auto"/>
        <w:jc w:val="both"/>
        <w:rPr>
          <w:rFonts w:cs="Arial"/>
          <w:lang w:val="es-VE"/>
        </w:rPr>
      </w:pPr>
      <w:r w:rsidRPr="00144F10">
        <w:rPr>
          <w:rFonts w:cs="Arial"/>
          <w:lang w:val="es-VE"/>
        </w:rPr>
        <w:t>Costos portuarios</w:t>
      </w:r>
    </w:p>
    <w:p w14:paraId="5972F753" w14:textId="77777777" w:rsidR="00826D13" w:rsidRPr="00144F10" w:rsidRDefault="00826D13" w:rsidP="00144F10">
      <w:pPr>
        <w:pStyle w:val="Prrafodelista"/>
        <w:numPr>
          <w:ilvl w:val="0"/>
          <w:numId w:val="21"/>
        </w:numPr>
        <w:spacing w:before="0" w:after="160" w:line="259" w:lineRule="auto"/>
        <w:jc w:val="both"/>
        <w:rPr>
          <w:rFonts w:cs="Arial"/>
          <w:lang w:val="es-VE"/>
        </w:rPr>
      </w:pPr>
      <w:r w:rsidRPr="00144F10">
        <w:rPr>
          <w:rFonts w:cs="Arial"/>
          <w:lang w:val="es-VE"/>
        </w:rPr>
        <w:t>Agencia naviera</w:t>
      </w:r>
    </w:p>
    <w:p w14:paraId="2A870A63" w14:textId="77777777" w:rsidR="00826D13" w:rsidRPr="00144F10" w:rsidRDefault="00826D13" w:rsidP="00144F10">
      <w:pPr>
        <w:pStyle w:val="Prrafodelista"/>
        <w:numPr>
          <w:ilvl w:val="0"/>
          <w:numId w:val="21"/>
        </w:numPr>
        <w:spacing w:before="0" w:after="160" w:line="259" w:lineRule="auto"/>
        <w:jc w:val="both"/>
        <w:rPr>
          <w:rFonts w:cs="Arial"/>
          <w:lang w:val="es-VE"/>
        </w:rPr>
      </w:pPr>
      <w:r w:rsidRPr="00144F10">
        <w:rPr>
          <w:rFonts w:cs="Arial"/>
          <w:lang w:val="es-VE"/>
        </w:rPr>
        <w:t xml:space="preserve">Despachos </w:t>
      </w:r>
    </w:p>
    <w:p w14:paraId="19A64CA3" w14:textId="77777777" w:rsidR="00826D13" w:rsidRPr="00144F10" w:rsidRDefault="00826D13" w:rsidP="00144F10">
      <w:pPr>
        <w:pStyle w:val="Prrafodelista"/>
        <w:numPr>
          <w:ilvl w:val="0"/>
          <w:numId w:val="21"/>
        </w:numPr>
        <w:spacing w:before="0" w:after="160" w:line="259" w:lineRule="auto"/>
        <w:jc w:val="both"/>
        <w:rPr>
          <w:rFonts w:cs="Arial"/>
          <w:lang w:val="es-VE"/>
        </w:rPr>
      </w:pPr>
      <w:r w:rsidRPr="00144F10">
        <w:rPr>
          <w:rFonts w:cs="Arial"/>
          <w:lang w:val="es-VE"/>
        </w:rPr>
        <w:t>Remolcadores de puerto</w:t>
      </w:r>
    </w:p>
    <w:p w14:paraId="1BD6C66F" w14:textId="77777777" w:rsidR="00826D13" w:rsidRPr="00144F10" w:rsidRDefault="00826D13" w:rsidP="00144F10">
      <w:pPr>
        <w:pStyle w:val="Prrafodelista"/>
        <w:numPr>
          <w:ilvl w:val="0"/>
          <w:numId w:val="21"/>
        </w:numPr>
        <w:spacing w:before="0" w:after="160" w:line="259" w:lineRule="auto"/>
        <w:jc w:val="both"/>
        <w:rPr>
          <w:rFonts w:cs="Arial"/>
          <w:lang w:val="es-VE"/>
        </w:rPr>
      </w:pPr>
      <w:r w:rsidRPr="00144F10">
        <w:rPr>
          <w:rFonts w:cs="Arial"/>
          <w:lang w:val="es-VE"/>
        </w:rPr>
        <w:t>Impuestos y derecho portuarios</w:t>
      </w:r>
    </w:p>
    <w:p w14:paraId="1987532A" w14:textId="77777777" w:rsidR="00826D13" w:rsidRPr="00144F10" w:rsidRDefault="00826D13" w:rsidP="00144F10">
      <w:pPr>
        <w:pStyle w:val="Prrafodelista"/>
        <w:numPr>
          <w:ilvl w:val="0"/>
          <w:numId w:val="21"/>
        </w:numPr>
        <w:spacing w:before="0" w:after="160" w:line="259" w:lineRule="auto"/>
        <w:jc w:val="both"/>
        <w:rPr>
          <w:rFonts w:cs="Arial"/>
          <w:lang w:val="es-VE"/>
        </w:rPr>
      </w:pPr>
      <w:r w:rsidRPr="00144F10">
        <w:rPr>
          <w:rFonts w:cs="Arial"/>
          <w:lang w:val="es-VE"/>
        </w:rPr>
        <w:t>Otros según apliquen</w:t>
      </w:r>
    </w:p>
    <w:p w14:paraId="778E26A1" w14:textId="77777777" w:rsidR="004F57D8" w:rsidRPr="003633EB" w:rsidRDefault="004F57D8" w:rsidP="003633EB">
      <w:pPr>
        <w:pStyle w:val="Ttulo3"/>
      </w:pPr>
      <w:r w:rsidRPr="003633EB">
        <w:t>Servicios log</w:t>
      </w:r>
      <w:r w:rsidR="005A1E00" w:rsidRPr="003633EB">
        <w:t>ísticos on call</w:t>
      </w:r>
    </w:p>
    <w:p w14:paraId="236CED6B" w14:textId="6AC0D120" w:rsidR="003633EB" w:rsidRDefault="003633EB" w:rsidP="003633EB">
      <w:pPr>
        <w:jc w:val="both"/>
        <w:rPr>
          <w:rFonts w:cs="Arial"/>
          <w:lang w:val="es-ES_tradnl"/>
        </w:rPr>
      </w:pPr>
      <w:r w:rsidRPr="00DD13AC">
        <w:rPr>
          <w:rFonts w:cs="Arial"/>
          <w:lang w:val="es-ES_tradnl"/>
        </w:rPr>
        <w:t>Según se detalla en el Anexo II – Alcance de Servicio, únicamente se pagará los gastos efectivamente realizados por la ejecución de l</w:t>
      </w:r>
      <w:r>
        <w:rPr>
          <w:rFonts w:cs="Arial"/>
          <w:lang w:val="es-ES_tradnl"/>
        </w:rPr>
        <w:t xml:space="preserve">os servicios considerados </w:t>
      </w:r>
      <w:r w:rsidR="00115181">
        <w:rPr>
          <w:rFonts w:cs="Arial"/>
          <w:lang w:val="es-ES_tradnl"/>
        </w:rPr>
        <w:t>On Call</w:t>
      </w:r>
      <w:r>
        <w:rPr>
          <w:rFonts w:cs="Arial"/>
          <w:lang w:val="es-ES_tradnl"/>
        </w:rPr>
        <w:t xml:space="preserve"> </w:t>
      </w:r>
      <w:r w:rsidRPr="00DD13AC">
        <w:rPr>
          <w:rFonts w:cs="Arial"/>
          <w:lang w:val="es-ES_tradnl"/>
        </w:rPr>
        <w:t>el tiempo que dure el contrato, de manera adicional y a solicitud expresa de LA EMPRESA. EL CONTRATISTA deberá presentar la evidencia que demuestre lo realmente gastado por las</w:t>
      </w:r>
      <w:r w:rsidR="004857B7">
        <w:rPr>
          <w:rFonts w:cs="Arial"/>
          <w:lang w:val="es-ES_tradnl"/>
        </w:rPr>
        <w:t xml:space="preserve"> operaciones</w:t>
      </w:r>
      <w:r w:rsidRPr="00DD13AC">
        <w:rPr>
          <w:rFonts w:cs="Arial"/>
          <w:lang w:val="es-ES_tradnl"/>
        </w:rPr>
        <w:t xml:space="preserve"> objeto del contrato, tales como, facturas, reportes, remitos, etc. de los siguientes servicios de manera no limitativa sino enunciativa:</w:t>
      </w:r>
    </w:p>
    <w:p w14:paraId="24DCF053"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Servicio de barreras flotantes de contención para descarga de Hidrocarburos, RP y RME en el puerto de Dos Bocas por hora o fracción</w:t>
      </w:r>
    </w:p>
    <w:p w14:paraId="4AFC5A72"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Cuadrilla de 04 maniobristas autorizados por ASIPONA para jornada de 08 horas</w:t>
      </w:r>
    </w:p>
    <w:p w14:paraId="4E26AD64"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Torton con Brazo articulado (HIAB) de 8 toneladas por jornada de 12 horas o fracción</w:t>
      </w:r>
    </w:p>
    <w:p w14:paraId="3CD6B756"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Torton con Brazo articulado (HIAB) de 16 toneladas por jornada de 12 horas o fracción</w:t>
      </w:r>
    </w:p>
    <w:p w14:paraId="14442833"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Grúa de 60 toneladas por hora o fracción</w:t>
      </w:r>
    </w:p>
    <w:p w14:paraId="15C6EAB9"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Grúa de 120 toneladas por hora o fracción</w:t>
      </w:r>
    </w:p>
    <w:p w14:paraId="0B27658C"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Tracto camión con plataforma de 40 pies</w:t>
      </w:r>
    </w:p>
    <w:p w14:paraId="016F5107"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Cargador Frontal (Pettibone) con capacidad de 15 Tons</w:t>
      </w:r>
    </w:p>
    <w:p w14:paraId="2684309E"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Montacargas Todo terreno/ Combustión Interna- clase V de 16 Tons.</w:t>
      </w:r>
    </w:p>
    <w:p w14:paraId="3849E448"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Servicio de transporte Van 1-7 pasajeros por movimientos locales y dentro del puerto de Dos Bocas</w:t>
      </w:r>
    </w:p>
    <w:p w14:paraId="05C77D0F"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Servicio de abastecimiento de agua potable para trasegar a plataformas</w:t>
      </w:r>
    </w:p>
    <w:p w14:paraId="51154A9E"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Servicios Logísticos en Puertos Alternos (Requerimiento mínimo: Grúa, Cabo de Maniobras, Maniobristas)</w:t>
      </w:r>
    </w:p>
    <w:p w14:paraId="38DC62A5"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Canastillas de Transporte Offshore 10 pies con aditamentos izaje y grilletes</w:t>
      </w:r>
    </w:p>
    <w:p w14:paraId="79C12636"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lastRenderedPageBreak/>
        <w:t>Canastillas de Transporte Offshore 20 pies con aditamentos izaje y grilletes</w:t>
      </w:r>
    </w:p>
    <w:p w14:paraId="01E3D065"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Agenciamiento de embarcaciones.</w:t>
      </w:r>
    </w:p>
    <w:p w14:paraId="1BBE6007" w14:textId="77777777" w:rsidR="00B0395A" w:rsidRPr="00B0395A" w:rsidRDefault="00B0395A" w:rsidP="00B0395A">
      <w:pPr>
        <w:pStyle w:val="Prrafodelista"/>
        <w:numPr>
          <w:ilvl w:val="0"/>
          <w:numId w:val="21"/>
        </w:numPr>
        <w:spacing w:before="0" w:after="160" w:line="259" w:lineRule="auto"/>
        <w:jc w:val="both"/>
        <w:rPr>
          <w:rFonts w:cs="Arial"/>
          <w:lang w:val="es-VE"/>
        </w:rPr>
      </w:pPr>
      <w:r w:rsidRPr="00B0395A">
        <w:rPr>
          <w:rFonts w:cs="Arial"/>
          <w:lang w:val="es-VE"/>
        </w:rPr>
        <w:t>Juego de bancales para tubería</w:t>
      </w:r>
    </w:p>
    <w:p w14:paraId="2F1A0727" w14:textId="12A325AD" w:rsidR="00110A28" w:rsidRDefault="00B0395A" w:rsidP="00110A28">
      <w:pPr>
        <w:pStyle w:val="Prrafodelista"/>
        <w:numPr>
          <w:ilvl w:val="0"/>
          <w:numId w:val="21"/>
        </w:numPr>
        <w:spacing w:before="0" w:after="160" w:line="259" w:lineRule="auto"/>
        <w:jc w:val="both"/>
        <w:rPr>
          <w:rFonts w:cs="Arial"/>
          <w:lang w:val="es-VE"/>
        </w:rPr>
      </w:pPr>
      <w:r w:rsidRPr="00B0395A">
        <w:rPr>
          <w:rFonts w:cs="Arial"/>
          <w:lang w:val="es-VE"/>
        </w:rPr>
        <w:t>Geomembranas para estiba de cajas de recorte.</w:t>
      </w:r>
    </w:p>
    <w:p w14:paraId="10FA0488" w14:textId="77777777" w:rsidR="00110A28" w:rsidRDefault="00110A28" w:rsidP="00110A28">
      <w:pPr>
        <w:pStyle w:val="Ttulo1"/>
        <w:spacing w:after="240"/>
        <w:ind w:left="431" w:hanging="431"/>
      </w:pPr>
      <w:r>
        <w:t xml:space="preserve">LISTA DE PRECIOS </w:t>
      </w:r>
    </w:p>
    <w:p w14:paraId="1F909CD7" w14:textId="77777777" w:rsidR="007E6CA2" w:rsidRPr="001C60BE" w:rsidRDefault="007E6CA2" w:rsidP="007E6CA2">
      <w:pPr>
        <w:jc w:val="both"/>
        <w:rPr>
          <w:rFonts w:cs="Arial"/>
          <w:lang w:val="es-ES_tradnl"/>
        </w:rPr>
      </w:pPr>
      <w:r w:rsidRPr="001C60BE">
        <w:rPr>
          <w:rFonts w:cs="Arial"/>
          <w:lang w:val="es-ES_tradnl"/>
        </w:rPr>
        <w:t xml:space="preserve">Los precios incluyen todos los costos directos e indirectos en que deba incurrir el CONTRATISTA para la oportuna y satisfactoria ejecución del Servicio. Se deberá </w:t>
      </w:r>
      <w:r>
        <w:rPr>
          <w:rFonts w:cs="Arial"/>
          <w:lang w:val="es-ES_tradnl"/>
        </w:rPr>
        <w:t>cotizar</w:t>
      </w:r>
      <w:r w:rsidRPr="001C60BE">
        <w:rPr>
          <w:rFonts w:cs="Arial"/>
          <w:lang w:val="es-ES_tradnl"/>
        </w:rPr>
        <w:t xml:space="preserve"> de acuerdo con la siguiente tabla: </w:t>
      </w:r>
    </w:p>
    <w:tbl>
      <w:tblPr>
        <w:tblW w:w="10065" w:type="dxa"/>
        <w:tblInd w:w="-356" w:type="dxa"/>
        <w:tblCellMar>
          <w:left w:w="70" w:type="dxa"/>
          <w:right w:w="70" w:type="dxa"/>
        </w:tblCellMar>
        <w:tblLook w:val="04A0" w:firstRow="1" w:lastRow="0" w:firstColumn="1" w:lastColumn="0" w:noHBand="0" w:noVBand="1"/>
      </w:tblPr>
      <w:tblGrid>
        <w:gridCol w:w="852"/>
        <w:gridCol w:w="7395"/>
        <w:gridCol w:w="1818"/>
      </w:tblGrid>
      <w:tr w:rsidR="00110A28" w:rsidRPr="005C2950" w14:paraId="1A32D132"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002060"/>
            <w:noWrap/>
            <w:vAlign w:val="bottom"/>
          </w:tcPr>
          <w:p w14:paraId="628C9E03" w14:textId="77777777" w:rsidR="00110A28" w:rsidRPr="005C2950" w:rsidRDefault="00110A28" w:rsidP="004E26C0">
            <w:pPr>
              <w:spacing w:after="0" w:line="240" w:lineRule="auto"/>
              <w:jc w:val="center"/>
              <w:rPr>
                <w:rFonts w:ascii="Aptos Narrow" w:eastAsia="Times New Roman" w:hAnsi="Aptos Narrow"/>
                <w:b/>
                <w:bCs/>
                <w:sz w:val="24"/>
                <w:szCs w:val="24"/>
                <w:lang w:eastAsia="es-AR"/>
              </w:rPr>
            </w:pPr>
            <w:r w:rsidRPr="005C2950">
              <w:rPr>
                <w:rFonts w:ascii="Aptos Narrow" w:eastAsia="Times New Roman" w:hAnsi="Aptos Narrow"/>
                <w:b/>
                <w:bCs/>
                <w:sz w:val="24"/>
                <w:szCs w:val="24"/>
                <w:lang w:eastAsia="es-AR"/>
              </w:rPr>
              <w:t>#</w:t>
            </w:r>
          </w:p>
        </w:tc>
        <w:tc>
          <w:tcPr>
            <w:tcW w:w="7395" w:type="dxa"/>
            <w:tcBorders>
              <w:top w:val="single" w:sz="4" w:space="0" w:color="auto"/>
              <w:left w:val="nil"/>
              <w:bottom w:val="single" w:sz="4" w:space="0" w:color="auto"/>
              <w:right w:val="single" w:sz="4" w:space="0" w:color="auto"/>
            </w:tcBorders>
            <w:shd w:val="clear" w:color="auto" w:fill="002060"/>
            <w:noWrap/>
            <w:vAlign w:val="bottom"/>
          </w:tcPr>
          <w:p w14:paraId="4796B34E" w14:textId="77777777" w:rsidR="00110A28" w:rsidRPr="005C2950" w:rsidRDefault="00110A28" w:rsidP="004E26C0">
            <w:pPr>
              <w:spacing w:after="0" w:line="240" w:lineRule="auto"/>
              <w:jc w:val="center"/>
              <w:rPr>
                <w:rFonts w:ascii="Aptos Narrow" w:eastAsia="Times New Roman" w:hAnsi="Aptos Narrow"/>
                <w:b/>
                <w:bCs/>
                <w:sz w:val="24"/>
                <w:szCs w:val="24"/>
                <w:lang w:eastAsia="es-AR"/>
              </w:rPr>
            </w:pPr>
            <w:r w:rsidRPr="005C2950">
              <w:rPr>
                <w:rFonts w:ascii="Aptos Narrow" w:eastAsia="Times New Roman" w:hAnsi="Aptos Narrow"/>
                <w:b/>
                <w:bCs/>
                <w:sz w:val="24"/>
                <w:szCs w:val="24"/>
                <w:lang w:eastAsia="es-AR"/>
              </w:rPr>
              <w:t>Concepto</w:t>
            </w:r>
          </w:p>
        </w:tc>
        <w:tc>
          <w:tcPr>
            <w:tcW w:w="1818" w:type="dxa"/>
            <w:tcBorders>
              <w:top w:val="single" w:sz="4" w:space="0" w:color="auto"/>
              <w:left w:val="nil"/>
              <w:bottom w:val="single" w:sz="4" w:space="0" w:color="auto"/>
              <w:right w:val="single" w:sz="4" w:space="0" w:color="auto"/>
            </w:tcBorders>
            <w:shd w:val="clear" w:color="auto" w:fill="002060"/>
            <w:noWrap/>
            <w:vAlign w:val="bottom"/>
          </w:tcPr>
          <w:p w14:paraId="7B69857C" w14:textId="77777777" w:rsidR="00110A28" w:rsidRPr="005C2950" w:rsidRDefault="00110A28" w:rsidP="004E26C0">
            <w:pPr>
              <w:spacing w:after="0" w:line="240" w:lineRule="auto"/>
              <w:jc w:val="center"/>
              <w:rPr>
                <w:rFonts w:ascii="Aptos Narrow" w:eastAsia="Times New Roman" w:hAnsi="Aptos Narrow"/>
                <w:b/>
                <w:bCs/>
                <w:sz w:val="24"/>
                <w:szCs w:val="24"/>
                <w:lang w:eastAsia="es-AR"/>
              </w:rPr>
            </w:pPr>
            <w:r w:rsidRPr="005C2950">
              <w:rPr>
                <w:rFonts w:ascii="Aptos Narrow" w:eastAsia="Times New Roman" w:hAnsi="Aptos Narrow"/>
                <w:b/>
                <w:bCs/>
                <w:sz w:val="24"/>
                <w:szCs w:val="24"/>
                <w:lang w:eastAsia="es-AR"/>
              </w:rPr>
              <w:t>Unidad</w:t>
            </w:r>
          </w:p>
        </w:tc>
      </w:tr>
      <w:tr w:rsidR="00110A28" w:rsidRPr="005C2950" w14:paraId="269242BE"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03B6A"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1</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7A441996"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 xml:space="preserve">Tarifa Operativa </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219685A8"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Hora</w:t>
            </w:r>
          </w:p>
        </w:tc>
      </w:tr>
      <w:tr w:rsidR="00110A28" w:rsidRPr="005C2950" w14:paraId="055B86B4"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73C27"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2</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1A6B88CD"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Tarifa Operativa de Performance Reducida</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2A6BD1C7"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Hora</w:t>
            </w:r>
          </w:p>
        </w:tc>
      </w:tr>
      <w:tr w:rsidR="00110A28" w:rsidRPr="005C2950" w14:paraId="616A0CAE"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B5ED7"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3</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1D822178"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Tarifa Reducida</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244AB763"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Hora</w:t>
            </w:r>
          </w:p>
        </w:tc>
      </w:tr>
      <w:tr w:rsidR="00110A28" w:rsidRPr="005C2950" w14:paraId="0767F0B2"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5667F"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4</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7EE9F691"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Servicios logísticos en puertos alternos</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70A5101C"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 xml:space="preserve"> Servicio</w:t>
            </w:r>
          </w:p>
        </w:tc>
      </w:tr>
      <w:tr w:rsidR="00110A28" w:rsidRPr="005C2950" w14:paraId="6838A444"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98D25"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5</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6CF88BEC"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Canastillas de Transporte Offshore de 10 pies con aditamentos de izaje y grilletes</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161CC184"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Canastilla</w:t>
            </w:r>
          </w:p>
        </w:tc>
      </w:tr>
      <w:tr w:rsidR="00110A28" w:rsidRPr="005C2950" w14:paraId="27E1EECE"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2B133"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6</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6254CBF7"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Canastillas de Transporte Offshore de 20 pies con aditamentos de izaje y grilletes</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6A21A5C9"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Canastilla</w:t>
            </w:r>
          </w:p>
        </w:tc>
      </w:tr>
      <w:tr w:rsidR="00110A28" w:rsidRPr="005C2950" w14:paraId="13D345AA"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3260F"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7</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2527E365" w14:textId="77777777" w:rsidR="00110A28" w:rsidRPr="005C2950" w:rsidRDefault="00110A28" w:rsidP="004E26C0">
            <w:pPr>
              <w:spacing w:before="0" w:after="0" w:line="240" w:lineRule="auto"/>
              <w:jc w:val="center"/>
              <w:rPr>
                <w:rFonts w:ascii="Aptos Narrow" w:eastAsia="Times New Roman" w:hAnsi="Aptos Narrow"/>
                <w:b/>
                <w:bCs/>
                <w:sz w:val="24"/>
                <w:szCs w:val="24"/>
                <w:lang w:eastAsia="es-AR"/>
              </w:rPr>
            </w:pPr>
            <w:r w:rsidRPr="005C2950">
              <w:rPr>
                <w:rFonts w:ascii="Aptos Narrow" w:eastAsia="Times New Roman" w:hAnsi="Aptos Narrow"/>
                <w:b/>
                <w:bCs/>
                <w:sz w:val="24"/>
                <w:szCs w:val="24"/>
                <w:lang w:eastAsia="es-AR"/>
              </w:rPr>
              <w:t>Agenciamiento</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064B5A49"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p>
        </w:tc>
      </w:tr>
      <w:tr w:rsidR="00110A28" w:rsidRPr="005C2950" w14:paraId="59DFB670"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44581" w14:textId="77777777" w:rsidR="00110A28" w:rsidRPr="005C2950" w:rsidRDefault="00110A28" w:rsidP="004E26C0">
            <w:pPr>
              <w:spacing w:before="0" w:after="0" w:line="240" w:lineRule="auto"/>
              <w:jc w:val="right"/>
              <w:rPr>
                <w:rFonts w:ascii="Aptos Narrow" w:eastAsia="Times New Roman" w:hAnsi="Aptos Narrow"/>
                <w:sz w:val="24"/>
                <w:szCs w:val="24"/>
                <w:lang w:eastAsia="es-AR"/>
              </w:rPr>
            </w:pPr>
            <w:r w:rsidRPr="005C2950">
              <w:rPr>
                <w:rFonts w:ascii="Aptos Narrow" w:eastAsia="Times New Roman" w:hAnsi="Aptos Narrow"/>
                <w:sz w:val="24"/>
                <w:szCs w:val="24"/>
                <w:lang w:eastAsia="es-AR"/>
              </w:rPr>
              <w:t>7.1</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298B28ED"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Costos Portuarios</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5AADD560"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w:t>
            </w:r>
          </w:p>
        </w:tc>
      </w:tr>
      <w:tr w:rsidR="00110A28" w:rsidRPr="005C2950" w14:paraId="3E1131BD"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6DC79" w14:textId="77777777" w:rsidR="00110A28" w:rsidRPr="005C2950" w:rsidRDefault="00110A28" w:rsidP="004E26C0">
            <w:pPr>
              <w:spacing w:before="0" w:after="0" w:line="240" w:lineRule="auto"/>
              <w:jc w:val="right"/>
              <w:rPr>
                <w:rFonts w:ascii="Aptos Narrow" w:eastAsia="Times New Roman" w:hAnsi="Aptos Narrow"/>
                <w:sz w:val="24"/>
                <w:szCs w:val="24"/>
                <w:lang w:eastAsia="es-AR"/>
              </w:rPr>
            </w:pPr>
            <w:r w:rsidRPr="005C2950">
              <w:rPr>
                <w:rFonts w:ascii="Aptos Narrow" w:eastAsia="Times New Roman" w:hAnsi="Aptos Narrow"/>
                <w:sz w:val="24"/>
                <w:szCs w:val="24"/>
                <w:lang w:eastAsia="es-AR"/>
              </w:rPr>
              <w:t>7.2</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6324FC79"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Agencia Naviera</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1CF6AB2A"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w:t>
            </w:r>
          </w:p>
        </w:tc>
      </w:tr>
      <w:tr w:rsidR="00110A28" w:rsidRPr="005C2950" w14:paraId="4E84D8B4"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E0471" w14:textId="77777777" w:rsidR="00110A28" w:rsidRPr="005C2950" w:rsidRDefault="00110A28" w:rsidP="004E26C0">
            <w:pPr>
              <w:spacing w:before="0" w:after="0" w:line="240" w:lineRule="auto"/>
              <w:jc w:val="right"/>
              <w:rPr>
                <w:rFonts w:ascii="Aptos Narrow" w:eastAsia="Times New Roman" w:hAnsi="Aptos Narrow"/>
                <w:sz w:val="24"/>
                <w:szCs w:val="24"/>
                <w:lang w:eastAsia="es-AR"/>
              </w:rPr>
            </w:pPr>
            <w:r w:rsidRPr="005C2950">
              <w:rPr>
                <w:rFonts w:ascii="Aptos Narrow" w:eastAsia="Times New Roman" w:hAnsi="Aptos Narrow"/>
                <w:sz w:val="24"/>
                <w:szCs w:val="24"/>
                <w:lang w:eastAsia="es-AR"/>
              </w:rPr>
              <w:t>7.3</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12ED224B"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Despachos</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2E495669"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w:t>
            </w:r>
          </w:p>
        </w:tc>
      </w:tr>
      <w:tr w:rsidR="00110A28" w:rsidRPr="005C2950" w14:paraId="6B24C3AD"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A5412" w14:textId="77777777" w:rsidR="00110A28" w:rsidRPr="005C2950" w:rsidRDefault="00110A28" w:rsidP="004E26C0">
            <w:pPr>
              <w:spacing w:before="0" w:after="0" w:line="240" w:lineRule="auto"/>
              <w:jc w:val="right"/>
              <w:rPr>
                <w:rFonts w:ascii="Aptos Narrow" w:eastAsia="Times New Roman" w:hAnsi="Aptos Narrow"/>
                <w:sz w:val="24"/>
                <w:szCs w:val="24"/>
                <w:lang w:eastAsia="es-AR"/>
              </w:rPr>
            </w:pPr>
            <w:r w:rsidRPr="005C2950">
              <w:rPr>
                <w:rFonts w:ascii="Aptos Narrow" w:eastAsia="Times New Roman" w:hAnsi="Aptos Narrow"/>
                <w:sz w:val="24"/>
                <w:szCs w:val="24"/>
                <w:lang w:eastAsia="es-AR"/>
              </w:rPr>
              <w:t>7.4</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44F818D8"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Remolcadores de Puerto</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7CDDFC4B"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w:t>
            </w:r>
          </w:p>
        </w:tc>
      </w:tr>
      <w:tr w:rsidR="00110A28" w:rsidRPr="005C2950" w14:paraId="0CCB2D6B"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3BC8E" w14:textId="77777777" w:rsidR="00110A28" w:rsidRPr="005C2950" w:rsidRDefault="00110A28" w:rsidP="004E26C0">
            <w:pPr>
              <w:spacing w:before="0" w:after="0" w:line="240" w:lineRule="auto"/>
              <w:jc w:val="right"/>
              <w:rPr>
                <w:rFonts w:ascii="Aptos Narrow" w:eastAsia="Times New Roman" w:hAnsi="Aptos Narrow"/>
                <w:sz w:val="24"/>
                <w:szCs w:val="24"/>
                <w:lang w:eastAsia="es-AR"/>
              </w:rPr>
            </w:pPr>
            <w:r w:rsidRPr="005C2950">
              <w:rPr>
                <w:rFonts w:ascii="Aptos Narrow" w:eastAsia="Times New Roman" w:hAnsi="Aptos Narrow"/>
                <w:sz w:val="24"/>
                <w:szCs w:val="24"/>
                <w:lang w:eastAsia="es-AR"/>
              </w:rPr>
              <w:t>7.5</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7F158566"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Impuestos y derechos portuarios</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77AB96F5"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w:t>
            </w:r>
          </w:p>
        </w:tc>
      </w:tr>
      <w:tr w:rsidR="00110A28" w:rsidRPr="005C2950" w14:paraId="5FB7E3CB" w14:textId="77777777" w:rsidTr="004E26C0">
        <w:trPr>
          <w:trHeight w:val="178"/>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A1173" w14:textId="77777777" w:rsidR="00110A28" w:rsidRPr="005C2950" w:rsidRDefault="00110A28" w:rsidP="004E26C0">
            <w:pPr>
              <w:spacing w:before="0" w:after="0" w:line="240" w:lineRule="auto"/>
              <w:jc w:val="right"/>
              <w:rPr>
                <w:rFonts w:ascii="Aptos Narrow" w:eastAsia="Times New Roman" w:hAnsi="Aptos Narrow"/>
                <w:sz w:val="24"/>
                <w:szCs w:val="24"/>
                <w:lang w:eastAsia="es-AR"/>
              </w:rPr>
            </w:pPr>
            <w:r w:rsidRPr="005C2950">
              <w:rPr>
                <w:rFonts w:ascii="Aptos Narrow" w:eastAsia="Times New Roman" w:hAnsi="Aptos Narrow"/>
                <w:sz w:val="24"/>
                <w:szCs w:val="24"/>
                <w:lang w:eastAsia="es-AR"/>
              </w:rPr>
              <w:t>7.6</w:t>
            </w:r>
          </w:p>
        </w:tc>
        <w:tc>
          <w:tcPr>
            <w:tcW w:w="7395" w:type="dxa"/>
            <w:tcBorders>
              <w:top w:val="single" w:sz="4" w:space="0" w:color="auto"/>
              <w:left w:val="nil"/>
              <w:bottom w:val="single" w:sz="4" w:space="0" w:color="auto"/>
              <w:right w:val="single" w:sz="4" w:space="0" w:color="auto"/>
            </w:tcBorders>
            <w:shd w:val="clear" w:color="auto" w:fill="auto"/>
            <w:noWrap/>
            <w:vAlign w:val="bottom"/>
          </w:tcPr>
          <w:p w14:paraId="569C4FBA"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Otros</w:t>
            </w:r>
          </w:p>
        </w:tc>
        <w:tc>
          <w:tcPr>
            <w:tcW w:w="1818" w:type="dxa"/>
            <w:tcBorders>
              <w:top w:val="single" w:sz="4" w:space="0" w:color="auto"/>
              <w:left w:val="nil"/>
              <w:bottom w:val="single" w:sz="4" w:space="0" w:color="auto"/>
              <w:right w:val="single" w:sz="4" w:space="0" w:color="auto"/>
            </w:tcBorders>
            <w:shd w:val="clear" w:color="auto" w:fill="auto"/>
            <w:noWrap/>
            <w:vAlign w:val="bottom"/>
          </w:tcPr>
          <w:p w14:paraId="45AB8270" w14:textId="77777777" w:rsidR="00110A28" w:rsidRPr="005C2950" w:rsidRDefault="00110A28" w:rsidP="004E26C0">
            <w:pPr>
              <w:spacing w:before="0" w:after="0" w:line="240" w:lineRule="auto"/>
              <w:jc w:val="center"/>
              <w:rPr>
                <w:rFonts w:ascii="Aptos Narrow" w:eastAsia="Times New Roman" w:hAnsi="Aptos Narrow"/>
                <w:sz w:val="24"/>
                <w:szCs w:val="24"/>
                <w:lang w:eastAsia="es-AR"/>
              </w:rPr>
            </w:pPr>
            <w:r w:rsidRPr="005C2950">
              <w:rPr>
                <w:rFonts w:ascii="Aptos Narrow" w:eastAsia="Times New Roman" w:hAnsi="Aptos Narrow"/>
                <w:sz w:val="24"/>
                <w:szCs w:val="24"/>
                <w:lang w:eastAsia="es-AR"/>
              </w:rPr>
              <w:t>%</w:t>
            </w:r>
          </w:p>
        </w:tc>
      </w:tr>
    </w:tbl>
    <w:p w14:paraId="61C38069" w14:textId="77777777" w:rsidR="00110A28" w:rsidRPr="00110A28" w:rsidRDefault="00110A28" w:rsidP="00110A28">
      <w:pPr>
        <w:spacing w:before="0" w:after="160" w:line="259" w:lineRule="auto"/>
        <w:jc w:val="both"/>
        <w:rPr>
          <w:rFonts w:cs="Arial"/>
          <w:lang w:val="es-VE"/>
        </w:rPr>
      </w:pPr>
    </w:p>
    <w:bookmarkEnd w:id="1"/>
    <w:bookmarkEnd w:id="2"/>
    <w:p w14:paraId="6E47AF9A" w14:textId="77777777" w:rsidR="00852CC7" w:rsidRDefault="00852CC7" w:rsidP="003A37F3">
      <w:pPr>
        <w:rPr>
          <w:rFonts w:cs="Arial"/>
          <w:lang w:val="es-ES_tradnl" w:eastAsia="es-ES"/>
        </w:rPr>
      </w:pPr>
    </w:p>
    <w:sectPr w:rsidR="00852CC7" w:rsidSect="000F3C2D">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73455" w14:textId="77777777" w:rsidR="00FC78E9" w:rsidRDefault="00FC78E9" w:rsidP="0003036C">
      <w:pPr>
        <w:spacing w:before="0" w:after="0" w:line="240" w:lineRule="auto"/>
      </w:pPr>
      <w:r>
        <w:separator/>
      </w:r>
    </w:p>
  </w:endnote>
  <w:endnote w:type="continuationSeparator" w:id="0">
    <w:p w14:paraId="4DF3404A" w14:textId="77777777" w:rsidR="00FC78E9" w:rsidRDefault="00FC78E9" w:rsidP="0003036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8303D" w14:textId="77777777" w:rsidR="00FC78E9" w:rsidRDefault="00FC78E9" w:rsidP="0003036C">
      <w:pPr>
        <w:spacing w:before="0" w:after="0" w:line="240" w:lineRule="auto"/>
      </w:pPr>
      <w:r>
        <w:separator/>
      </w:r>
    </w:p>
  </w:footnote>
  <w:footnote w:type="continuationSeparator" w:id="0">
    <w:p w14:paraId="7A843BC5" w14:textId="77777777" w:rsidR="00FC78E9" w:rsidRDefault="00FC78E9" w:rsidP="0003036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9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17"/>
      <w:gridCol w:w="6124"/>
      <w:gridCol w:w="1853"/>
    </w:tblGrid>
    <w:tr w:rsidR="0003036C" w:rsidRPr="0062406A" w14:paraId="41279BF0" w14:textId="77777777" w:rsidTr="00DF5B9F">
      <w:trPr>
        <w:trHeight w:val="455"/>
        <w:jc w:val="center"/>
      </w:trPr>
      <w:tc>
        <w:tcPr>
          <w:tcW w:w="1917" w:type="dxa"/>
          <w:vMerge w:val="restart"/>
          <w:vAlign w:val="center"/>
        </w:tcPr>
        <w:p w14:paraId="7A080641" w14:textId="77777777" w:rsidR="0003036C" w:rsidRPr="0062406A" w:rsidRDefault="0003036C" w:rsidP="0003036C">
          <w:pPr>
            <w:pStyle w:val="Encabezado"/>
            <w:jc w:val="center"/>
          </w:pPr>
          <w:r w:rsidRPr="0034303D">
            <w:rPr>
              <w:noProof/>
              <w:lang w:val="es-MX" w:eastAsia="es-MX"/>
            </w:rPr>
            <w:drawing>
              <wp:inline distT="0" distB="0" distL="0" distR="0" wp14:anchorId="1E006D21" wp14:editId="11674B0E">
                <wp:extent cx="716280" cy="526415"/>
                <wp:effectExtent l="0" t="0" r="7620" b="6985"/>
                <wp:docPr id="1389538750"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526415"/>
                        </a:xfrm>
                        <a:prstGeom prst="rect">
                          <a:avLst/>
                        </a:prstGeom>
                        <a:noFill/>
                        <a:ln>
                          <a:noFill/>
                        </a:ln>
                      </pic:spPr>
                    </pic:pic>
                  </a:graphicData>
                </a:graphic>
              </wp:inline>
            </w:drawing>
          </w:r>
        </w:p>
      </w:tc>
      <w:tc>
        <w:tcPr>
          <w:tcW w:w="6124" w:type="dxa"/>
          <w:vMerge w:val="restart"/>
          <w:vAlign w:val="center"/>
        </w:tcPr>
        <w:p w14:paraId="2A04E527" w14:textId="4F4C11A7" w:rsidR="00B4544D" w:rsidRDefault="00B4544D" w:rsidP="00225132">
          <w:pPr>
            <w:pStyle w:val="Encabezado"/>
            <w:ind w:left="360"/>
            <w:contextualSpacing/>
            <w:jc w:val="center"/>
            <w:rPr>
              <w:rFonts w:ascii="Times New Roman" w:hAnsi="Times New Roman" w:cs="Arial"/>
              <w:bCs/>
              <w:lang w:val="es-MX"/>
            </w:rPr>
          </w:pPr>
          <w:r w:rsidRPr="00B7339C">
            <w:rPr>
              <w:rFonts w:ascii="Times New Roman" w:hAnsi="Times New Roman" w:cs="Arial"/>
              <w:b/>
              <w:lang w:val="es-MX"/>
            </w:rPr>
            <w:t xml:space="preserve">Anexo </w:t>
          </w:r>
          <w:r>
            <w:rPr>
              <w:rFonts w:ascii="Times New Roman" w:hAnsi="Times New Roman" w:cs="Arial"/>
              <w:b/>
              <w:lang w:val="es-MX"/>
            </w:rPr>
            <w:t>I</w:t>
          </w:r>
          <w:r w:rsidR="006B5379">
            <w:rPr>
              <w:rFonts w:ascii="Times New Roman" w:hAnsi="Times New Roman" w:cs="Arial"/>
              <w:b/>
              <w:lang w:val="es-MX"/>
            </w:rPr>
            <w:t xml:space="preserve"> </w:t>
          </w:r>
          <w:r w:rsidRPr="00B7339C">
            <w:rPr>
              <w:rFonts w:ascii="Times New Roman" w:hAnsi="Times New Roman" w:cs="Arial"/>
              <w:b/>
              <w:lang w:val="es-MX"/>
            </w:rPr>
            <w:t>- Precios</w:t>
          </w:r>
        </w:p>
        <w:p w14:paraId="20E4EAD8" w14:textId="172DEED6" w:rsidR="00225132" w:rsidRDefault="0003036C" w:rsidP="00225132">
          <w:pPr>
            <w:pStyle w:val="Encabezado"/>
            <w:ind w:left="360"/>
            <w:contextualSpacing/>
            <w:jc w:val="center"/>
            <w:rPr>
              <w:rFonts w:ascii="Times New Roman" w:hAnsi="Times New Roman" w:cs="Arial"/>
              <w:bCs/>
              <w:lang w:val="es-MX"/>
            </w:rPr>
          </w:pPr>
          <w:r w:rsidRPr="00A7221F">
            <w:rPr>
              <w:rFonts w:ascii="Times New Roman" w:hAnsi="Times New Roman" w:cs="Arial"/>
              <w:bCs/>
              <w:lang w:val="es-MX"/>
            </w:rPr>
            <w:t xml:space="preserve">Servicio </w:t>
          </w:r>
          <w:r>
            <w:rPr>
              <w:rFonts w:ascii="Times New Roman" w:hAnsi="Times New Roman" w:cs="Arial"/>
              <w:bCs/>
              <w:lang w:val="es-MX"/>
            </w:rPr>
            <w:t xml:space="preserve">de Base Onshore y Servicios Logísticos </w:t>
          </w:r>
          <w:r w:rsidR="00B4544D">
            <w:rPr>
              <w:rFonts w:ascii="Times New Roman" w:hAnsi="Times New Roman" w:cs="Arial"/>
              <w:bCs/>
              <w:lang w:val="es-MX"/>
            </w:rPr>
            <w:t>HOKCHI</w:t>
          </w:r>
        </w:p>
        <w:p w14:paraId="0912246F" w14:textId="348DDDB0" w:rsidR="0003036C" w:rsidRPr="00D63089" w:rsidRDefault="0003036C" w:rsidP="00225132">
          <w:pPr>
            <w:pStyle w:val="Encabezado"/>
            <w:ind w:left="360"/>
            <w:contextualSpacing/>
            <w:jc w:val="center"/>
            <w:rPr>
              <w:rFonts w:ascii="Times New Roman" w:hAnsi="Times New Roman"/>
              <w:b/>
              <w:lang w:val="es-MX"/>
            </w:rPr>
          </w:pPr>
        </w:p>
      </w:tc>
      <w:tc>
        <w:tcPr>
          <w:tcW w:w="1853" w:type="dxa"/>
          <w:vAlign w:val="center"/>
        </w:tcPr>
        <w:p w14:paraId="180C6023" w14:textId="77777777" w:rsidR="0003036C" w:rsidRPr="00FA1610" w:rsidRDefault="0003036C" w:rsidP="0003036C">
          <w:pPr>
            <w:pStyle w:val="Encabezado"/>
            <w:rPr>
              <w:rFonts w:ascii="Times New Roman" w:hAnsi="Times New Roman"/>
            </w:rPr>
          </w:pPr>
          <w:r w:rsidRPr="00FA1610">
            <w:rPr>
              <w:rFonts w:ascii="Times New Roman" w:hAnsi="Times New Roman"/>
            </w:rPr>
            <w:t xml:space="preserve">Revisión </w:t>
          </w:r>
          <w:r>
            <w:rPr>
              <w:rFonts w:ascii="Times New Roman" w:hAnsi="Times New Roman"/>
            </w:rPr>
            <w:t>00</w:t>
          </w:r>
        </w:p>
        <w:p w14:paraId="2DD0DFD4" w14:textId="77777777" w:rsidR="0003036C" w:rsidRPr="00FA1610" w:rsidRDefault="0003036C" w:rsidP="0003036C">
          <w:pPr>
            <w:pStyle w:val="Encabezado"/>
            <w:rPr>
              <w:rFonts w:ascii="Times New Roman" w:hAnsi="Times New Roman"/>
            </w:rPr>
          </w:pPr>
          <w:r w:rsidRPr="00FA1610">
            <w:rPr>
              <w:rFonts w:ascii="Times New Roman" w:hAnsi="Times New Roman"/>
            </w:rPr>
            <w:t xml:space="preserve">Fecha </w:t>
          </w:r>
          <w:r w:rsidR="0096561B">
            <w:rPr>
              <w:rFonts w:ascii="Times New Roman" w:hAnsi="Times New Roman"/>
            </w:rPr>
            <w:t>1</w:t>
          </w:r>
          <w:r w:rsidR="00D2070A">
            <w:rPr>
              <w:rFonts w:ascii="Times New Roman" w:hAnsi="Times New Roman"/>
            </w:rPr>
            <w:t>0</w:t>
          </w:r>
          <w:r w:rsidRPr="00FA1610">
            <w:rPr>
              <w:rFonts w:ascii="Times New Roman" w:hAnsi="Times New Roman"/>
            </w:rPr>
            <w:t>/</w:t>
          </w:r>
          <w:r w:rsidR="0096561B">
            <w:rPr>
              <w:rFonts w:ascii="Times New Roman" w:hAnsi="Times New Roman"/>
            </w:rPr>
            <w:t>0</w:t>
          </w:r>
          <w:r w:rsidR="007420E5">
            <w:rPr>
              <w:rFonts w:ascii="Times New Roman" w:hAnsi="Times New Roman"/>
            </w:rPr>
            <w:t>1</w:t>
          </w:r>
          <w:r>
            <w:rPr>
              <w:rFonts w:ascii="Times New Roman" w:hAnsi="Times New Roman"/>
            </w:rPr>
            <w:t>/202</w:t>
          </w:r>
          <w:r w:rsidR="007420E5">
            <w:rPr>
              <w:rFonts w:ascii="Times New Roman" w:hAnsi="Times New Roman"/>
            </w:rPr>
            <w:t>6</w:t>
          </w:r>
        </w:p>
      </w:tc>
    </w:tr>
    <w:tr w:rsidR="0003036C" w:rsidRPr="0062406A" w14:paraId="690C1957" w14:textId="77777777" w:rsidTr="00DF5B9F">
      <w:trPr>
        <w:trHeight w:val="455"/>
        <w:jc w:val="center"/>
      </w:trPr>
      <w:tc>
        <w:tcPr>
          <w:tcW w:w="1917" w:type="dxa"/>
          <w:vMerge/>
          <w:vAlign w:val="center"/>
        </w:tcPr>
        <w:p w14:paraId="27960A73" w14:textId="77777777" w:rsidR="0003036C" w:rsidRPr="0062406A" w:rsidRDefault="0003036C" w:rsidP="0003036C">
          <w:pPr>
            <w:pStyle w:val="Encabezado"/>
            <w:jc w:val="center"/>
            <w:rPr>
              <w:noProof/>
              <w:lang w:val="es-MX" w:eastAsia="es-MX"/>
            </w:rPr>
          </w:pPr>
        </w:p>
      </w:tc>
      <w:tc>
        <w:tcPr>
          <w:tcW w:w="6124" w:type="dxa"/>
          <w:vMerge/>
          <w:vAlign w:val="center"/>
        </w:tcPr>
        <w:p w14:paraId="421BA376" w14:textId="77777777" w:rsidR="0003036C" w:rsidRPr="00FA1610" w:rsidRDefault="0003036C" w:rsidP="0003036C">
          <w:pPr>
            <w:pStyle w:val="Encabezado"/>
            <w:ind w:left="360"/>
            <w:jc w:val="center"/>
            <w:rPr>
              <w:rFonts w:ascii="Times New Roman" w:hAnsi="Times New Roman"/>
              <w:b/>
            </w:rPr>
          </w:pPr>
        </w:p>
      </w:tc>
      <w:tc>
        <w:tcPr>
          <w:tcW w:w="1853" w:type="dxa"/>
          <w:vAlign w:val="center"/>
        </w:tcPr>
        <w:p w14:paraId="395ABCDC" w14:textId="77777777" w:rsidR="0003036C" w:rsidRPr="00FA1610" w:rsidRDefault="0003036C" w:rsidP="0003036C">
          <w:pPr>
            <w:pStyle w:val="Encabezado"/>
            <w:rPr>
              <w:rFonts w:ascii="Times New Roman" w:hAnsi="Times New Roman"/>
            </w:rPr>
          </w:pPr>
          <w:r w:rsidRPr="00FA1610">
            <w:rPr>
              <w:rFonts w:ascii="Times New Roman" w:hAnsi="Times New Roman"/>
              <w:lang w:val="es-ES"/>
            </w:rPr>
            <w:t xml:space="preserve">Página </w:t>
          </w:r>
          <w:r w:rsidRPr="00FA1610">
            <w:rPr>
              <w:rFonts w:ascii="Times New Roman" w:hAnsi="Times New Roman"/>
              <w:b/>
              <w:bCs/>
            </w:rPr>
            <w:fldChar w:fldCharType="begin"/>
          </w:r>
          <w:r w:rsidRPr="00FA1610">
            <w:rPr>
              <w:rFonts w:ascii="Times New Roman" w:hAnsi="Times New Roman"/>
              <w:b/>
              <w:bCs/>
            </w:rPr>
            <w:instrText>PAGE  \* Arabic  \* MERGEFORMAT</w:instrText>
          </w:r>
          <w:r w:rsidRPr="00FA1610">
            <w:rPr>
              <w:rFonts w:ascii="Times New Roman" w:hAnsi="Times New Roman"/>
              <w:b/>
              <w:bCs/>
            </w:rPr>
            <w:fldChar w:fldCharType="separate"/>
          </w:r>
          <w:r w:rsidRPr="00D36824">
            <w:rPr>
              <w:rFonts w:ascii="Times New Roman" w:hAnsi="Times New Roman"/>
              <w:b/>
              <w:bCs/>
              <w:noProof/>
              <w:lang w:val="es-ES"/>
            </w:rPr>
            <w:t>1</w:t>
          </w:r>
          <w:r w:rsidRPr="00FA1610">
            <w:rPr>
              <w:rFonts w:ascii="Times New Roman" w:hAnsi="Times New Roman"/>
              <w:b/>
              <w:bCs/>
            </w:rPr>
            <w:fldChar w:fldCharType="end"/>
          </w:r>
          <w:r w:rsidRPr="00FA1610">
            <w:rPr>
              <w:rFonts w:ascii="Times New Roman" w:hAnsi="Times New Roman"/>
              <w:lang w:val="es-ES"/>
            </w:rPr>
            <w:t xml:space="preserve"> de </w:t>
          </w:r>
          <w:r w:rsidRPr="00FA1610">
            <w:rPr>
              <w:rFonts w:ascii="Times New Roman" w:hAnsi="Times New Roman"/>
              <w:b/>
              <w:bCs/>
            </w:rPr>
            <w:fldChar w:fldCharType="begin"/>
          </w:r>
          <w:r w:rsidRPr="00FA1610">
            <w:rPr>
              <w:rFonts w:ascii="Times New Roman" w:hAnsi="Times New Roman"/>
              <w:b/>
              <w:bCs/>
            </w:rPr>
            <w:instrText>NUMPAGES  \* Arabic  \* MERGEFORMAT</w:instrText>
          </w:r>
          <w:r w:rsidRPr="00FA1610">
            <w:rPr>
              <w:rFonts w:ascii="Times New Roman" w:hAnsi="Times New Roman"/>
              <w:b/>
              <w:bCs/>
            </w:rPr>
            <w:fldChar w:fldCharType="separate"/>
          </w:r>
          <w:r w:rsidRPr="00D36824">
            <w:rPr>
              <w:rFonts w:ascii="Times New Roman" w:hAnsi="Times New Roman"/>
              <w:b/>
              <w:bCs/>
              <w:noProof/>
              <w:lang w:val="es-ES"/>
            </w:rPr>
            <w:t>1</w:t>
          </w:r>
          <w:r w:rsidRPr="00FA1610">
            <w:rPr>
              <w:rFonts w:ascii="Times New Roman" w:hAnsi="Times New Roman"/>
              <w:b/>
              <w:bCs/>
            </w:rPr>
            <w:fldChar w:fldCharType="end"/>
          </w:r>
        </w:p>
      </w:tc>
    </w:tr>
  </w:tbl>
  <w:p w14:paraId="1034FB25" w14:textId="77777777" w:rsidR="0003036C" w:rsidRDefault="0003036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E20EB"/>
    <w:multiLevelType w:val="hybridMultilevel"/>
    <w:tmpl w:val="1AB268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457AAE"/>
    <w:multiLevelType w:val="hybridMultilevel"/>
    <w:tmpl w:val="6CC06C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D683BB2"/>
    <w:multiLevelType w:val="hybridMultilevel"/>
    <w:tmpl w:val="ADAC4F5E"/>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344C03B2"/>
    <w:multiLevelType w:val="hybridMultilevel"/>
    <w:tmpl w:val="D7DCD14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 w15:restartNumberingAfterBreak="0">
    <w:nsid w:val="4398721B"/>
    <w:multiLevelType w:val="hybridMultilevel"/>
    <w:tmpl w:val="671E687A"/>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48E841DC"/>
    <w:multiLevelType w:val="hybridMultilevel"/>
    <w:tmpl w:val="A7ECBDDC"/>
    <w:lvl w:ilvl="0" w:tplc="45846FB0">
      <w:numFmt w:val="bullet"/>
      <w:lvlText w:val="•"/>
      <w:lvlJc w:val="left"/>
      <w:pPr>
        <w:ind w:left="904" w:hanging="520"/>
      </w:pPr>
      <w:rPr>
        <w:rFonts w:ascii="Arial MT" w:eastAsia="Arial MT" w:hAnsi="Arial MT" w:cs="Arial MT" w:hint="default"/>
      </w:rPr>
    </w:lvl>
    <w:lvl w:ilvl="1" w:tplc="080A0003" w:tentative="1">
      <w:start w:val="1"/>
      <w:numFmt w:val="bullet"/>
      <w:lvlText w:val="o"/>
      <w:lvlJc w:val="left"/>
      <w:pPr>
        <w:ind w:left="1632" w:hanging="360"/>
      </w:pPr>
      <w:rPr>
        <w:rFonts w:ascii="Courier New" w:hAnsi="Courier New" w:cs="Courier New" w:hint="default"/>
      </w:rPr>
    </w:lvl>
    <w:lvl w:ilvl="2" w:tplc="080A0005" w:tentative="1">
      <w:start w:val="1"/>
      <w:numFmt w:val="bullet"/>
      <w:lvlText w:val=""/>
      <w:lvlJc w:val="left"/>
      <w:pPr>
        <w:ind w:left="2352" w:hanging="360"/>
      </w:pPr>
      <w:rPr>
        <w:rFonts w:ascii="Wingdings" w:hAnsi="Wingdings" w:hint="default"/>
      </w:rPr>
    </w:lvl>
    <w:lvl w:ilvl="3" w:tplc="080A0001" w:tentative="1">
      <w:start w:val="1"/>
      <w:numFmt w:val="bullet"/>
      <w:lvlText w:val=""/>
      <w:lvlJc w:val="left"/>
      <w:pPr>
        <w:ind w:left="3072" w:hanging="360"/>
      </w:pPr>
      <w:rPr>
        <w:rFonts w:ascii="Symbol" w:hAnsi="Symbol" w:hint="default"/>
      </w:rPr>
    </w:lvl>
    <w:lvl w:ilvl="4" w:tplc="080A0003" w:tentative="1">
      <w:start w:val="1"/>
      <w:numFmt w:val="bullet"/>
      <w:lvlText w:val="o"/>
      <w:lvlJc w:val="left"/>
      <w:pPr>
        <w:ind w:left="3792" w:hanging="360"/>
      </w:pPr>
      <w:rPr>
        <w:rFonts w:ascii="Courier New" w:hAnsi="Courier New" w:cs="Courier New" w:hint="default"/>
      </w:rPr>
    </w:lvl>
    <w:lvl w:ilvl="5" w:tplc="080A0005" w:tentative="1">
      <w:start w:val="1"/>
      <w:numFmt w:val="bullet"/>
      <w:lvlText w:val=""/>
      <w:lvlJc w:val="left"/>
      <w:pPr>
        <w:ind w:left="4512" w:hanging="360"/>
      </w:pPr>
      <w:rPr>
        <w:rFonts w:ascii="Wingdings" w:hAnsi="Wingdings" w:hint="default"/>
      </w:rPr>
    </w:lvl>
    <w:lvl w:ilvl="6" w:tplc="080A0001" w:tentative="1">
      <w:start w:val="1"/>
      <w:numFmt w:val="bullet"/>
      <w:lvlText w:val=""/>
      <w:lvlJc w:val="left"/>
      <w:pPr>
        <w:ind w:left="5232" w:hanging="360"/>
      </w:pPr>
      <w:rPr>
        <w:rFonts w:ascii="Symbol" w:hAnsi="Symbol" w:hint="default"/>
      </w:rPr>
    </w:lvl>
    <w:lvl w:ilvl="7" w:tplc="080A0003" w:tentative="1">
      <w:start w:val="1"/>
      <w:numFmt w:val="bullet"/>
      <w:lvlText w:val="o"/>
      <w:lvlJc w:val="left"/>
      <w:pPr>
        <w:ind w:left="5952" w:hanging="360"/>
      </w:pPr>
      <w:rPr>
        <w:rFonts w:ascii="Courier New" w:hAnsi="Courier New" w:cs="Courier New" w:hint="default"/>
      </w:rPr>
    </w:lvl>
    <w:lvl w:ilvl="8" w:tplc="080A0005" w:tentative="1">
      <w:start w:val="1"/>
      <w:numFmt w:val="bullet"/>
      <w:lvlText w:val=""/>
      <w:lvlJc w:val="left"/>
      <w:pPr>
        <w:ind w:left="6672" w:hanging="360"/>
      </w:pPr>
      <w:rPr>
        <w:rFonts w:ascii="Wingdings" w:hAnsi="Wingdings" w:hint="default"/>
      </w:rPr>
    </w:lvl>
  </w:abstractNum>
  <w:abstractNum w:abstractNumId="6" w15:restartNumberingAfterBreak="0">
    <w:nsid w:val="592764A5"/>
    <w:multiLevelType w:val="multilevel"/>
    <w:tmpl w:val="2C0A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15:restartNumberingAfterBreak="0">
    <w:nsid w:val="6CE27369"/>
    <w:multiLevelType w:val="hybridMultilevel"/>
    <w:tmpl w:val="854AC8EE"/>
    <w:lvl w:ilvl="0" w:tplc="45846FB0">
      <w:numFmt w:val="bullet"/>
      <w:lvlText w:val="•"/>
      <w:lvlJc w:val="left"/>
      <w:pPr>
        <w:ind w:left="712" w:hanging="520"/>
      </w:pPr>
      <w:rPr>
        <w:rFonts w:ascii="Arial MT" w:eastAsia="Arial MT" w:hAnsi="Arial MT" w:cs="Arial M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2F85BA3"/>
    <w:multiLevelType w:val="hybridMultilevel"/>
    <w:tmpl w:val="BDBC66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60C00D5"/>
    <w:multiLevelType w:val="multilevel"/>
    <w:tmpl w:val="917A8968"/>
    <w:lvl w:ilvl="0">
      <w:start w:val="1"/>
      <w:numFmt w:val="decimal"/>
      <w:pStyle w:val="Ttulo1"/>
      <w:lvlText w:val="%1"/>
      <w:lvlJc w:val="left"/>
      <w:pPr>
        <w:ind w:left="432" w:hanging="432"/>
      </w:pPr>
      <w:rPr>
        <w:b/>
      </w:rPr>
    </w:lvl>
    <w:lvl w:ilvl="1">
      <w:start w:val="1"/>
      <w:numFmt w:val="decimal"/>
      <w:pStyle w:val="Ttulo2"/>
      <w:lvlText w:val="%1.%2"/>
      <w:lvlJc w:val="left"/>
      <w:pPr>
        <w:ind w:left="718"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1996" w:hanging="720"/>
      </w:pPr>
      <w:rPr>
        <w:color w:val="auto"/>
      </w:rPr>
    </w:lvl>
    <w:lvl w:ilvl="3">
      <w:start w:val="1"/>
      <w:numFmt w:val="decimal"/>
      <w:pStyle w:val="Ttulo4"/>
      <w:lvlText w:val="%1.%2.%3.%4"/>
      <w:lvlJc w:val="left"/>
      <w:pPr>
        <w:ind w:left="1432" w:hanging="864"/>
      </w:pPr>
      <w:rPr>
        <w:lang w:val="es-ES_tradnl"/>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16cid:durableId="1528904383">
    <w:abstractNumId w:val="9"/>
  </w:num>
  <w:num w:numId="2" w16cid:durableId="1793938247">
    <w:abstractNumId w:val="1"/>
  </w:num>
  <w:num w:numId="3" w16cid:durableId="587924984">
    <w:abstractNumId w:val="9"/>
  </w:num>
  <w:num w:numId="4" w16cid:durableId="978387935">
    <w:abstractNumId w:val="9"/>
  </w:num>
  <w:num w:numId="5" w16cid:durableId="1117794418">
    <w:abstractNumId w:val="9"/>
  </w:num>
  <w:num w:numId="6" w16cid:durableId="704063551">
    <w:abstractNumId w:val="9"/>
  </w:num>
  <w:num w:numId="7" w16cid:durableId="5354362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8111291">
    <w:abstractNumId w:val="9"/>
  </w:num>
  <w:num w:numId="9" w16cid:durableId="714159532">
    <w:abstractNumId w:val="4"/>
  </w:num>
  <w:num w:numId="10" w16cid:durableId="407271761">
    <w:abstractNumId w:val="2"/>
  </w:num>
  <w:num w:numId="11" w16cid:durableId="61757063">
    <w:abstractNumId w:val="9"/>
  </w:num>
  <w:num w:numId="12" w16cid:durableId="766774923">
    <w:abstractNumId w:val="9"/>
  </w:num>
  <w:num w:numId="13" w16cid:durableId="1341851155">
    <w:abstractNumId w:val="6"/>
  </w:num>
  <w:num w:numId="14" w16cid:durableId="810680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9856027">
    <w:abstractNumId w:val="7"/>
  </w:num>
  <w:num w:numId="16" w16cid:durableId="336226791">
    <w:abstractNumId w:val="5"/>
  </w:num>
  <w:num w:numId="17" w16cid:durableId="1687555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4878234">
    <w:abstractNumId w:val="9"/>
  </w:num>
  <w:num w:numId="19" w16cid:durableId="1187522958">
    <w:abstractNumId w:val="8"/>
  </w:num>
  <w:num w:numId="20" w16cid:durableId="6580754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9888474">
    <w:abstractNumId w:val="0"/>
  </w:num>
  <w:num w:numId="22" w16cid:durableId="16930669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D80"/>
    <w:rsid w:val="00002F39"/>
    <w:rsid w:val="0001108E"/>
    <w:rsid w:val="000122E4"/>
    <w:rsid w:val="0001789A"/>
    <w:rsid w:val="000244D9"/>
    <w:rsid w:val="00025975"/>
    <w:rsid w:val="0002609D"/>
    <w:rsid w:val="0003036C"/>
    <w:rsid w:val="00031E00"/>
    <w:rsid w:val="000404FC"/>
    <w:rsid w:val="00042F48"/>
    <w:rsid w:val="00047E2D"/>
    <w:rsid w:val="0005159C"/>
    <w:rsid w:val="00076569"/>
    <w:rsid w:val="00095BCB"/>
    <w:rsid w:val="000A222B"/>
    <w:rsid w:val="000A52ED"/>
    <w:rsid w:val="000B6455"/>
    <w:rsid w:val="000C1AA3"/>
    <w:rsid w:val="000E0AAA"/>
    <w:rsid w:val="000E3469"/>
    <w:rsid w:val="000F1D73"/>
    <w:rsid w:val="000F3C2D"/>
    <w:rsid w:val="00110A28"/>
    <w:rsid w:val="00115181"/>
    <w:rsid w:val="00117EB6"/>
    <w:rsid w:val="00131F98"/>
    <w:rsid w:val="00144F10"/>
    <w:rsid w:val="00162CEF"/>
    <w:rsid w:val="001736D2"/>
    <w:rsid w:val="00185DE2"/>
    <w:rsid w:val="00190F3B"/>
    <w:rsid w:val="001B3C4C"/>
    <w:rsid w:val="001B7FAE"/>
    <w:rsid w:val="001D5AFB"/>
    <w:rsid w:val="001F353E"/>
    <w:rsid w:val="001F3906"/>
    <w:rsid w:val="00200956"/>
    <w:rsid w:val="002045F6"/>
    <w:rsid w:val="002131C4"/>
    <w:rsid w:val="00225132"/>
    <w:rsid w:val="00226280"/>
    <w:rsid w:val="00232491"/>
    <w:rsid w:val="002527A5"/>
    <w:rsid w:val="0025287B"/>
    <w:rsid w:val="002662F6"/>
    <w:rsid w:val="002707E6"/>
    <w:rsid w:val="0028062E"/>
    <w:rsid w:val="00284A61"/>
    <w:rsid w:val="00285555"/>
    <w:rsid w:val="00293C4F"/>
    <w:rsid w:val="00297295"/>
    <w:rsid w:val="002A060F"/>
    <w:rsid w:val="002B1DCA"/>
    <w:rsid w:val="002B4826"/>
    <w:rsid w:val="002C328A"/>
    <w:rsid w:val="002D06C3"/>
    <w:rsid w:val="002D6D1D"/>
    <w:rsid w:val="002D7EDF"/>
    <w:rsid w:val="002F1041"/>
    <w:rsid w:val="002F7502"/>
    <w:rsid w:val="00312DA6"/>
    <w:rsid w:val="003136D1"/>
    <w:rsid w:val="00317538"/>
    <w:rsid w:val="0031781A"/>
    <w:rsid w:val="003214EE"/>
    <w:rsid w:val="00327C75"/>
    <w:rsid w:val="00332C5B"/>
    <w:rsid w:val="0034747E"/>
    <w:rsid w:val="003511CB"/>
    <w:rsid w:val="00351989"/>
    <w:rsid w:val="00362801"/>
    <w:rsid w:val="003633EB"/>
    <w:rsid w:val="003710F9"/>
    <w:rsid w:val="0037157A"/>
    <w:rsid w:val="00372BC3"/>
    <w:rsid w:val="003872D7"/>
    <w:rsid w:val="00390630"/>
    <w:rsid w:val="003A37F3"/>
    <w:rsid w:val="003B4673"/>
    <w:rsid w:val="003C053F"/>
    <w:rsid w:val="003C3253"/>
    <w:rsid w:val="003C43FD"/>
    <w:rsid w:val="003D0087"/>
    <w:rsid w:val="003D1183"/>
    <w:rsid w:val="003D66FD"/>
    <w:rsid w:val="003F044F"/>
    <w:rsid w:val="004350E0"/>
    <w:rsid w:val="00437B0C"/>
    <w:rsid w:val="00443E42"/>
    <w:rsid w:val="00447E5B"/>
    <w:rsid w:val="00461B36"/>
    <w:rsid w:val="00463396"/>
    <w:rsid w:val="00463E78"/>
    <w:rsid w:val="00480864"/>
    <w:rsid w:val="004857B7"/>
    <w:rsid w:val="00490C5E"/>
    <w:rsid w:val="004B640E"/>
    <w:rsid w:val="004C41B6"/>
    <w:rsid w:val="004C5199"/>
    <w:rsid w:val="004C69B6"/>
    <w:rsid w:val="004D0463"/>
    <w:rsid w:val="004F2E46"/>
    <w:rsid w:val="004F57D8"/>
    <w:rsid w:val="00515686"/>
    <w:rsid w:val="005241A1"/>
    <w:rsid w:val="00527ABB"/>
    <w:rsid w:val="00533063"/>
    <w:rsid w:val="0053706B"/>
    <w:rsid w:val="00553878"/>
    <w:rsid w:val="00562D80"/>
    <w:rsid w:val="00562FF7"/>
    <w:rsid w:val="00577FB7"/>
    <w:rsid w:val="00587F2E"/>
    <w:rsid w:val="00592099"/>
    <w:rsid w:val="005A1E00"/>
    <w:rsid w:val="005B7AD2"/>
    <w:rsid w:val="005C118E"/>
    <w:rsid w:val="005C32D7"/>
    <w:rsid w:val="005C5B39"/>
    <w:rsid w:val="005E430E"/>
    <w:rsid w:val="005E4546"/>
    <w:rsid w:val="005F07DF"/>
    <w:rsid w:val="005F5A8E"/>
    <w:rsid w:val="00604870"/>
    <w:rsid w:val="00623F7C"/>
    <w:rsid w:val="0062518A"/>
    <w:rsid w:val="00627D36"/>
    <w:rsid w:val="006424F2"/>
    <w:rsid w:val="00654718"/>
    <w:rsid w:val="00665DFF"/>
    <w:rsid w:val="00670C9D"/>
    <w:rsid w:val="00672904"/>
    <w:rsid w:val="006857FB"/>
    <w:rsid w:val="0068624D"/>
    <w:rsid w:val="00686BB0"/>
    <w:rsid w:val="006B1709"/>
    <w:rsid w:val="006B3AE6"/>
    <w:rsid w:val="006B5379"/>
    <w:rsid w:val="006C2A27"/>
    <w:rsid w:val="006D2B01"/>
    <w:rsid w:val="006F2FBA"/>
    <w:rsid w:val="00702901"/>
    <w:rsid w:val="00705DB8"/>
    <w:rsid w:val="007230A3"/>
    <w:rsid w:val="00731036"/>
    <w:rsid w:val="007420E5"/>
    <w:rsid w:val="00745B4C"/>
    <w:rsid w:val="00752012"/>
    <w:rsid w:val="0076448F"/>
    <w:rsid w:val="0076711F"/>
    <w:rsid w:val="00783978"/>
    <w:rsid w:val="00790053"/>
    <w:rsid w:val="007B752F"/>
    <w:rsid w:val="007D505C"/>
    <w:rsid w:val="007D797C"/>
    <w:rsid w:val="007E47B2"/>
    <w:rsid w:val="007E6CA2"/>
    <w:rsid w:val="007F4096"/>
    <w:rsid w:val="007F4A24"/>
    <w:rsid w:val="00826D13"/>
    <w:rsid w:val="00831D4E"/>
    <w:rsid w:val="0083412A"/>
    <w:rsid w:val="00852CC7"/>
    <w:rsid w:val="00861E58"/>
    <w:rsid w:val="008761B9"/>
    <w:rsid w:val="00881440"/>
    <w:rsid w:val="0088486A"/>
    <w:rsid w:val="00886DD6"/>
    <w:rsid w:val="00890EE3"/>
    <w:rsid w:val="008947C7"/>
    <w:rsid w:val="008A3920"/>
    <w:rsid w:val="008A7364"/>
    <w:rsid w:val="008B72A9"/>
    <w:rsid w:val="008C1437"/>
    <w:rsid w:val="008C4273"/>
    <w:rsid w:val="008C5342"/>
    <w:rsid w:val="008C53A2"/>
    <w:rsid w:val="008D789F"/>
    <w:rsid w:val="008E5946"/>
    <w:rsid w:val="008F236F"/>
    <w:rsid w:val="008F68E4"/>
    <w:rsid w:val="00910D6B"/>
    <w:rsid w:val="00954AFB"/>
    <w:rsid w:val="0095777D"/>
    <w:rsid w:val="0096561B"/>
    <w:rsid w:val="0098040F"/>
    <w:rsid w:val="00983E9F"/>
    <w:rsid w:val="009860DB"/>
    <w:rsid w:val="009874D5"/>
    <w:rsid w:val="00990A34"/>
    <w:rsid w:val="009C3D4C"/>
    <w:rsid w:val="009C4B5D"/>
    <w:rsid w:val="009C5930"/>
    <w:rsid w:val="009E3E5B"/>
    <w:rsid w:val="009F3E16"/>
    <w:rsid w:val="00A30F25"/>
    <w:rsid w:val="00A31C72"/>
    <w:rsid w:val="00A379E9"/>
    <w:rsid w:val="00A37CBD"/>
    <w:rsid w:val="00A46380"/>
    <w:rsid w:val="00A53859"/>
    <w:rsid w:val="00A665C8"/>
    <w:rsid w:val="00A932AF"/>
    <w:rsid w:val="00AA2DF9"/>
    <w:rsid w:val="00AA6AB8"/>
    <w:rsid w:val="00AB087B"/>
    <w:rsid w:val="00AC0F3E"/>
    <w:rsid w:val="00AC333B"/>
    <w:rsid w:val="00AD00C6"/>
    <w:rsid w:val="00AD047F"/>
    <w:rsid w:val="00AD15BD"/>
    <w:rsid w:val="00AE2F5A"/>
    <w:rsid w:val="00AE5ECC"/>
    <w:rsid w:val="00AF25AB"/>
    <w:rsid w:val="00B0395A"/>
    <w:rsid w:val="00B05478"/>
    <w:rsid w:val="00B1317A"/>
    <w:rsid w:val="00B4544D"/>
    <w:rsid w:val="00B4546F"/>
    <w:rsid w:val="00B54FD6"/>
    <w:rsid w:val="00B571FC"/>
    <w:rsid w:val="00B67A74"/>
    <w:rsid w:val="00B746CB"/>
    <w:rsid w:val="00B762D2"/>
    <w:rsid w:val="00B8771A"/>
    <w:rsid w:val="00B90C58"/>
    <w:rsid w:val="00B9134A"/>
    <w:rsid w:val="00B933F8"/>
    <w:rsid w:val="00BC4FCD"/>
    <w:rsid w:val="00BE28C9"/>
    <w:rsid w:val="00BE68BF"/>
    <w:rsid w:val="00C00F18"/>
    <w:rsid w:val="00C01261"/>
    <w:rsid w:val="00C03158"/>
    <w:rsid w:val="00C17981"/>
    <w:rsid w:val="00C24CCB"/>
    <w:rsid w:val="00C25822"/>
    <w:rsid w:val="00C25C3E"/>
    <w:rsid w:val="00C40F78"/>
    <w:rsid w:val="00C4482C"/>
    <w:rsid w:val="00C51528"/>
    <w:rsid w:val="00C61B69"/>
    <w:rsid w:val="00C74AEC"/>
    <w:rsid w:val="00C94470"/>
    <w:rsid w:val="00CC0C01"/>
    <w:rsid w:val="00CD1650"/>
    <w:rsid w:val="00CE2B3C"/>
    <w:rsid w:val="00CE2C32"/>
    <w:rsid w:val="00CE5723"/>
    <w:rsid w:val="00D062A3"/>
    <w:rsid w:val="00D15677"/>
    <w:rsid w:val="00D15EC8"/>
    <w:rsid w:val="00D15F3B"/>
    <w:rsid w:val="00D2070A"/>
    <w:rsid w:val="00D25356"/>
    <w:rsid w:val="00D34194"/>
    <w:rsid w:val="00D43799"/>
    <w:rsid w:val="00D458D8"/>
    <w:rsid w:val="00D47F87"/>
    <w:rsid w:val="00D546A7"/>
    <w:rsid w:val="00D60B1E"/>
    <w:rsid w:val="00D71802"/>
    <w:rsid w:val="00D76AC0"/>
    <w:rsid w:val="00D76B4B"/>
    <w:rsid w:val="00D82BCC"/>
    <w:rsid w:val="00D83E18"/>
    <w:rsid w:val="00D85E26"/>
    <w:rsid w:val="00DA3A80"/>
    <w:rsid w:val="00DB02A4"/>
    <w:rsid w:val="00DD2623"/>
    <w:rsid w:val="00DD79D3"/>
    <w:rsid w:val="00DF2073"/>
    <w:rsid w:val="00DF2F3D"/>
    <w:rsid w:val="00E0334A"/>
    <w:rsid w:val="00E070A9"/>
    <w:rsid w:val="00E168A5"/>
    <w:rsid w:val="00E36F01"/>
    <w:rsid w:val="00E76831"/>
    <w:rsid w:val="00E77FB8"/>
    <w:rsid w:val="00E851E2"/>
    <w:rsid w:val="00E97444"/>
    <w:rsid w:val="00EA6A76"/>
    <w:rsid w:val="00EB6A3C"/>
    <w:rsid w:val="00EC09F9"/>
    <w:rsid w:val="00EC10D7"/>
    <w:rsid w:val="00EC5A12"/>
    <w:rsid w:val="00EE26C9"/>
    <w:rsid w:val="00EE31D4"/>
    <w:rsid w:val="00EE3BC2"/>
    <w:rsid w:val="00EE6023"/>
    <w:rsid w:val="00EF1BA4"/>
    <w:rsid w:val="00F1009A"/>
    <w:rsid w:val="00F22DA9"/>
    <w:rsid w:val="00F31E8D"/>
    <w:rsid w:val="00F330D3"/>
    <w:rsid w:val="00F57A6B"/>
    <w:rsid w:val="00F60128"/>
    <w:rsid w:val="00F725BC"/>
    <w:rsid w:val="00F73126"/>
    <w:rsid w:val="00F849AC"/>
    <w:rsid w:val="00F85607"/>
    <w:rsid w:val="00F905EE"/>
    <w:rsid w:val="00FC78E9"/>
    <w:rsid w:val="00FF17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0F0F1"/>
  <w15:chartTrackingRefBased/>
  <w15:docId w15:val="{7CC39513-1B27-44ED-BE9A-C6A186CB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981"/>
    <w:pPr>
      <w:spacing w:before="120" w:after="120" w:line="276" w:lineRule="auto"/>
    </w:pPr>
    <w:rPr>
      <w:rFonts w:ascii="Arial" w:eastAsia="Calibri" w:hAnsi="Arial" w:cs="Times New Roman"/>
      <w:lang w:val="es-AR"/>
    </w:rPr>
  </w:style>
  <w:style w:type="paragraph" w:styleId="Ttulo1">
    <w:name w:val="heading 1"/>
    <w:basedOn w:val="Normal"/>
    <w:next w:val="Normal"/>
    <w:link w:val="Ttulo1Car"/>
    <w:qFormat/>
    <w:rsid w:val="00562D80"/>
    <w:pPr>
      <w:keepNext/>
      <w:keepLines/>
      <w:numPr>
        <w:numId w:val="1"/>
      </w:numPr>
      <w:spacing w:before="480" w:after="0"/>
      <w:jc w:val="both"/>
      <w:outlineLvl w:val="0"/>
    </w:pPr>
    <w:rPr>
      <w:rFonts w:eastAsia="Times New Roman"/>
      <w:b/>
      <w:bCs/>
      <w:caps/>
      <w:sz w:val="24"/>
      <w:szCs w:val="28"/>
    </w:rPr>
  </w:style>
  <w:style w:type="paragraph" w:styleId="Ttulo2">
    <w:name w:val="heading 2"/>
    <w:basedOn w:val="Normal"/>
    <w:next w:val="Normal"/>
    <w:link w:val="Ttulo2Car"/>
    <w:qFormat/>
    <w:rsid w:val="00562D80"/>
    <w:pPr>
      <w:keepNext/>
      <w:numPr>
        <w:ilvl w:val="1"/>
        <w:numId w:val="1"/>
      </w:numPr>
      <w:spacing w:before="360" w:after="240" w:line="240" w:lineRule="auto"/>
      <w:jc w:val="both"/>
      <w:outlineLvl w:val="1"/>
    </w:pPr>
    <w:rPr>
      <w:rFonts w:asciiTheme="minorHAnsi" w:eastAsia="Times New Roman" w:hAnsiTheme="minorHAnsi"/>
      <w:b/>
      <w:caps/>
      <w:sz w:val="24"/>
      <w:szCs w:val="20"/>
      <w:lang w:val="es-ES_tradnl" w:eastAsia="es-ES"/>
    </w:rPr>
  </w:style>
  <w:style w:type="paragraph" w:styleId="Ttulo3">
    <w:name w:val="heading 3"/>
    <w:basedOn w:val="Normal"/>
    <w:next w:val="Normal"/>
    <w:link w:val="Ttulo3Car"/>
    <w:unhideWhenUsed/>
    <w:qFormat/>
    <w:rsid w:val="00562D80"/>
    <w:pPr>
      <w:keepNext/>
      <w:keepLines/>
      <w:numPr>
        <w:ilvl w:val="2"/>
        <w:numId w:val="1"/>
      </w:numPr>
      <w:tabs>
        <w:tab w:val="left" w:pos="709"/>
      </w:tabs>
      <w:spacing w:before="200" w:after="0"/>
      <w:outlineLvl w:val="2"/>
    </w:pPr>
    <w:rPr>
      <w:rFonts w:asciiTheme="minorHAnsi" w:eastAsia="Times New Roman" w:hAnsiTheme="minorHAnsi"/>
      <w:b/>
      <w:bCs/>
      <w:caps/>
      <w:sz w:val="24"/>
    </w:rPr>
  </w:style>
  <w:style w:type="paragraph" w:styleId="Ttulo4">
    <w:name w:val="heading 4"/>
    <w:basedOn w:val="Normal"/>
    <w:next w:val="Normal"/>
    <w:link w:val="Ttulo4Car"/>
    <w:unhideWhenUsed/>
    <w:qFormat/>
    <w:rsid w:val="00562D80"/>
    <w:pPr>
      <w:keepNext/>
      <w:keepLines/>
      <w:numPr>
        <w:ilvl w:val="3"/>
        <w:numId w:val="1"/>
      </w:numPr>
      <w:spacing w:before="200" w:after="0"/>
      <w:outlineLvl w:val="3"/>
    </w:pPr>
    <w:rPr>
      <w:rFonts w:asciiTheme="minorHAnsi" w:eastAsia="Times New Roman" w:hAnsiTheme="minorHAnsi"/>
      <w:b/>
      <w:bCs/>
      <w:iCs/>
      <w:caps/>
      <w:sz w:val="24"/>
    </w:rPr>
  </w:style>
  <w:style w:type="paragraph" w:styleId="Ttulo5">
    <w:name w:val="heading 5"/>
    <w:basedOn w:val="Normal"/>
    <w:next w:val="Normal"/>
    <w:link w:val="Ttulo5Car"/>
    <w:unhideWhenUsed/>
    <w:qFormat/>
    <w:rsid w:val="00562D80"/>
    <w:pPr>
      <w:keepNext/>
      <w:keepLines/>
      <w:numPr>
        <w:ilvl w:val="4"/>
        <w:numId w:val="1"/>
      </w:numPr>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unhideWhenUsed/>
    <w:qFormat/>
    <w:rsid w:val="00562D80"/>
    <w:pPr>
      <w:keepNext/>
      <w:keepLines/>
      <w:numPr>
        <w:ilvl w:val="5"/>
        <w:numId w:val="1"/>
      </w:numPr>
      <w:spacing w:before="200" w:after="0"/>
      <w:outlineLvl w:val="5"/>
    </w:pPr>
    <w:rPr>
      <w:rFonts w:asciiTheme="majorHAnsi" w:eastAsiaTheme="majorEastAsia" w:hAnsiTheme="majorHAnsi" w:cstheme="majorBidi"/>
      <w:i/>
      <w:iCs/>
      <w:color w:val="1F3763" w:themeColor="accent1" w:themeShade="7F"/>
    </w:rPr>
  </w:style>
  <w:style w:type="paragraph" w:styleId="Ttulo7">
    <w:name w:val="heading 7"/>
    <w:basedOn w:val="Normal"/>
    <w:next w:val="Normal"/>
    <w:link w:val="Ttulo7Car"/>
    <w:semiHidden/>
    <w:unhideWhenUsed/>
    <w:qFormat/>
    <w:rsid w:val="00562D80"/>
    <w:pPr>
      <w:numPr>
        <w:ilvl w:val="6"/>
        <w:numId w:val="1"/>
      </w:numPr>
      <w:spacing w:before="240" w:after="60" w:line="240" w:lineRule="auto"/>
      <w:outlineLvl w:val="6"/>
    </w:pPr>
    <w:rPr>
      <w:rFonts w:eastAsia="Times New Roman"/>
      <w:sz w:val="24"/>
      <w:szCs w:val="24"/>
      <w:lang w:val="es-ES_tradnl" w:eastAsia="es-ES"/>
    </w:rPr>
  </w:style>
  <w:style w:type="paragraph" w:styleId="Ttulo8">
    <w:name w:val="heading 8"/>
    <w:basedOn w:val="Normal"/>
    <w:next w:val="Normal"/>
    <w:link w:val="Ttulo8Car"/>
    <w:uiPriority w:val="9"/>
    <w:semiHidden/>
    <w:unhideWhenUsed/>
    <w:qFormat/>
    <w:rsid w:val="00562D8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562D8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62D80"/>
    <w:rPr>
      <w:rFonts w:ascii="Arial" w:eastAsia="Times New Roman" w:hAnsi="Arial" w:cs="Times New Roman"/>
      <w:b/>
      <w:bCs/>
      <w:caps/>
      <w:sz w:val="24"/>
      <w:szCs w:val="28"/>
      <w:lang w:val="es-AR"/>
    </w:rPr>
  </w:style>
  <w:style w:type="character" w:customStyle="1" w:styleId="Ttulo2Car">
    <w:name w:val="Título 2 Car"/>
    <w:basedOn w:val="Fuentedeprrafopredeter"/>
    <w:link w:val="Ttulo2"/>
    <w:rsid w:val="00562D80"/>
    <w:rPr>
      <w:rFonts w:eastAsia="Times New Roman" w:cs="Times New Roman"/>
      <w:b/>
      <w:caps/>
      <w:sz w:val="24"/>
      <w:szCs w:val="20"/>
      <w:lang w:val="es-ES_tradnl" w:eastAsia="es-ES"/>
    </w:rPr>
  </w:style>
  <w:style w:type="character" w:customStyle="1" w:styleId="Ttulo3Car">
    <w:name w:val="Título 3 Car"/>
    <w:basedOn w:val="Fuentedeprrafopredeter"/>
    <w:link w:val="Ttulo3"/>
    <w:rsid w:val="00562D80"/>
    <w:rPr>
      <w:rFonts w:eastAsia="Times New Roman" w:cs="Times New Roman"/>
      <w:b/>
      <w:bCs/>
      <w:caps/>
      <w:sz w:val="24"/>
      <w:lang w:val="es-AR"/>
    </w:rPr>
  </w:style>
  <w:style w:type="character" w:customStyle="1" w:styleId="Ttulo4Car">
    <w:name w:val="Título 4 Car"/>
    <w:basedOn w:val="Fuentedeprrafopredeter"/>
    <w:link w:val="Ttulo4"/>
    <w:rsid w:val="00562D80"/>
    <w:rPr>
      <w:rFonts w:eastAsia="Times New Roman" w:cs="Times New Roman"/>
      <w:b/>
      <w:bCs/>
      <w:iCs/>
      <w:caps/>
      <w:sz w:val="24"/>
      <w:lang w:val="es-AR"/>
    </w:rPr>
  </w:style>
  <w:style w:type="character" w:customStyle="1" w:styleId="Ttulo5Car">
    <w:name w:val="Título 5 Car"/>
    <w:basedOn w:val="Fuentedeprrafopredeter"/>
    <w:link w:val="Ttulo5"/>
    <w:rsid w:val="00562D80"/>
    <w:rPr>
      <w:rFonts w:ascii="Cambria" w:eastAsia="Times New Roman" w:hAnsi="Cambria" w:cs="Times New Roman"/>
      <w:color w:val="243F60"/>
      <w:lang w:val="es-AR"/>
    </w:rPr>
  </w:style>
  <w:style w:type="character" w:customStyle="1" w:styleId="Ttulo6Car">
    <w:name w:val="Título 6 Car"/>
    <w:basedOn w:val="Fuentedeprrafopredeter"/>
    <w:link w:val="Ttulo6"/>
    <w:uiPriority w:val="9"/>
    <w:rsid w:val="00562D80"/>
    <w:rPr>
      <w:rFonts w:asciiTheme="majorHAnsi" w:eastAsiaTheme="majorEastAsia" w:hAnsiTheme="majorHAnsi" w:cstheme="majorBidi"/>
      <w:i/>
      <w:iCs/>
      <w:color w:val="1F3763" w:themeColor="accent1" w:themeShade="7F"/>
      <w:lang w:val="es-AR"/>
    </w:rPr>
  </w:style>
  <w:style w:type="character" w:customStyle="1" w:styleId="Ttulo7Car">
    <w:name w:val="Título 7 Car"/>
    <w:basedOn w:val="Fuentedeprrafopredeter"/>
    <w:link w:val="Ttulo7"/>
    <w:semiHidden/>
    <w:rsid w:val="00562D80"/>
    <w:rPr>
      <w:rFonts w:ascii="Arial" w:eastAsia="Times New Roman" w:hAnsi="Arial" w:cs="Times New Roman"/>
      <w:sz w:val="24"/>
      <w:szCs w:val="24"/>
      <w:lang w:val="es-ES_tradnl" w:eastAsia="es-ES"/>
    </w:rPr>
  </w:style>
  <w:style w:type="character" w:customStyle="1" w:styleId="Ttulo8Car">
    <w:name w:val="Título 8 Car"/>
    <w:basedOn w:val="Fuentedeprrafopredeter"/>
    <w:link w:val="Ttulo8"/>
    <w:uiPriority w:val="9"/>
    <w:semiHidden/>
    <w:rsid w:val="00562D80"/>
    <w:rPr>
      <w:rFonts w:asciiTheme="majorHAnsi" w:eastAsiaTheme="majorEastAsia" w:hAnsiTheme="majorHAnsi" w:cstheme="majorBidi"/>
      <w:color w:val="404040" w:themeColor="text1" w:themeTint="BF"/>
      <w:sz w:val="20"/>
      <w:szCs w:val="20"/>
      <w:lang w:val="es-AR"/>
    </w:rPr>
  </w:style>
  <w:style w:type="character" w:customStyle="1" w:styleId="Ttulo9Car">
    <w:name w:val="Título 9 Car"/>
    <w:basedOn w:val="Fuentedeprrafopredeter"/>
    <w:link w:val="Ttulo9"/>
    <w:uiPriority w:val="9"/>
    <w:rsid w:val="00562D80"/>
    <w:rPr>
      <w:rFonts w:asciiTheme="majorHAnsi" w:eastAsiaTheme="majorEastAsia" w:hAnsiTheme="majorHAnsi" w:cstheme="majorBidi"/>
      <w:i/>
      <w:iCs/>
      <w:color w:val="404040" w:themeColor="text1" w:themeTint="BF"/>
      <w:sz w:val="20"/>
      <w:szCs w:val="20"/>
      <w:lang w:val="es-AR"/>
    </w:rPr>
  </w:style>
  <w:style w:type="paragraph" w:styleId="Prrafodelista">
    <w:name w:val="List Paragraph"/>
    <w:basedOn w:val="Normal"/>
    <w:link w:val="PrrafodelistaCar"/>
    <w:uiPriority w:val="34"/>
    <w:qFormat/>
    <w:rsid w:val="007230A3"/>
    <w:pPr>
      <w:ind w:left="720"/>
      <w:contextualSpacing/>
    </w:pPr>
  </w:style>
  <w:style w:type="paragraph" w:styleId="Textoindependiente">
    <w:name w:val="Body Text"/>
    <w:basedOn w:val="Normal"/>
    <w:link w:val="TextoindependienteCar"/>
    <w:uiPriority w:val="1"/>
    <w:qFormat/>
    <w:rsid w:val="003D0087"/>
    <w:pPr>
      <w:widowControl w:val="0"/>
      <w:autoSpaceDE w:val="0"/>
      <w:autoSpaceDN w:val="0"/>
      <w:spacing w:before="0" w:after="0" w:line="240" w:lineRule="auto"/>
      <w:ind w:left="192"/>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3D0087"/>
    <w:rPr>
      <w:rFonts w:ascii="Arial MT" w:eastAsia="Arial MT" w:hAnsi="Arial MT" w:cs="Arial MT"/>
      <w:lang w:val="es-ES"/>
    </w:rPr>
  </w:style>
  <w:style w:type="table" w:styleId="Tablaconcuadrcula">
    <w:name w:val="Table Grid"/>
    <w:basedOn w:val="Tablanormal"/>
    <w:uiPriority w:val="39"/>
    <w:rsid w:val="00480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aliases w:val="encabezado,*Header,h"/>
    <w:basedOn w:val="Normal"/>
    <w:link w:val="EncabezadoCar"/>
    <w:uiPriority w:val="99"/>
    <w:unhideWhenUsed/>
    <w:rsid w:val="0003036C"/>
    <w:pPr>
      <w:tabs>
        <w:tab w:val="center" w:pos="4419"/>
        <w:tab w:val="right" w:pos="8838"/>
      </w:tabs>
      <w:spacing w:before="0" w:after="0" w:line="240" w:lineRule="auto"/>
    </w:pPr>
  </w:style>
  <w:style w:type="character" w:customStyle="1" w:styleId="EncabezadoCar">
    <w:name w:val="Encabezado Car"/>
    <w:aliases w:val="encabezado Car,*Header Car,h Car"/>
    <w:basedOn w:val="Fuentedeprrafopredeter"/>
    <w:link w:val="Encabezado"/>
    <w:uiPriority w:val="99"/>
    <w:rsid w:val="0003036C"/>
    <w:rPr>
      <w:rFonts w:ascii="Arial" w:eastAsia="Calibri" w:hAnsi="Arial" w:cs="Times New Roman"/>
      <w:lang w:val="es-AR"/>
    </w:rPr>
  </w:style>
  <w:style w:type="paragraph" w:styleId="Piedepgina">
    <w:name w:val="footer"/>
    <w:basedOn w:val="Normal"/>
    <w:link w:val="PiedepginaCar"/>
    <w:uiPriority w:val="99"/>
    <w:unhideWhenUsed/>
    <w:rsid w:val="0003036C"/>
    <w:pPr>
      <w:tabs>
        <w:tab w:val="center" w:pos="4419"/>
        <w:tab w:val="right" w:pos="8838"/>
      </w:tabs>
      <w:spacing w:before="0" w:after="0" w:line="240" w:lineRule="auto"/>
    </w:pPr>
  </w:style>
  <w:style w:type="character" w:customStyle="1" w:styleId="PiedepginaCar">
    <w:name w:val="Pie de página Car"/>
    <w:basedOn w:val="Fuentedeprrafopredeter"/>
    <w:link w:val="Piedepgina"/>
    <w:uiPriority w:val="99"/>
    <w:rsid w:val="0003036C"/>
    <w:rPr>
      <w:rFonts w:ascii="Arial" w:eastAsia="Calibri" w:hAnsi="Arial" w:cs="Times New Roman"/>
      <w:lang w:val="es-AR"/>
    </w:rPr>
  </w:style>
  <w:style w:type="character" w:customStyle="1" w:styleId="PrrafodelistaCar">
    <w:name w:val="Párrafo de lista Car"/>
    <w:basedOn w:val="Fuentedeprrafopredeter"/>
    <w:link w:val="Prrafodelista"/>
    <w:uiPriority w:val="34"/>
    <w:locked/>
    <w:rsid w:val="00B0395A"/>
    <w:rPr>
      <w:rFonts w:ascii="Arial" w:eastAsia="Calibri" w:hAnsi="Arial" w:cs="Times New Roman"/>
      <w:lang w:val="es-AR"/>
    </w:rPr>
  </w:style>
  <w:style w:type="character" w:styleId="Refdecomentario">
    <w:name w:val="annotation reference"/>
    <w:basedOn w:val="Fuentedeprrafopredeter"/>
    <w:uiPriority w:val="99"/>
    <w:semiHidden/>
    <w:unhideWhenUsed/>
    <w:rsid w:val="007420E5"/>
    <w:rPr>
      <w:sz w:val="16"/>
      <w:szCs w:val="16"/>
    </w:rPr>
  </w:style>
  <w:style w:type="paragraph" w:styleId="Textocomentario">
    <w:name w:val="annotation text"/>
    <w:basedOn w:val="Normal"/>
    <w:link w:val="TextocomentarioCar"/>
    <w:uiPriority w:val="99"/>
    <w:unhideWhenUsed/>
    <w:rsid w:val="007420E5"/>
    <w:pPr>
      <w:spacing w:line="240" w:lineRule="auto"/>
    </w:pPr>
    <w:rPr>
      <w:sz w:val="20"/>
      <w:szCs w:val="20"/>
    </w:rPr>
  </w:style>
  <w:style w:type="character" w:customStyle="1" w:styleId="TextocomentarioCar">
    <w:name w:val="Texto comentario Car"/>
    <w:basedOn w:val="Fuentedeprrafopredeter"/>
    <w:link w:val="Textocomentario"/>
    <w:uiPriority w:val="99"/>
    <w:rsid w:val="007420E5"/>
    <w:rPr>
      <w:rFonts w:ascii="Arial" w:eastAsia="Calibri" w:hAnsi="Arial" w:cs="Times New Roman"/>
      <w:sz w:val="20"/>
      <w:szCs w:val="20"/>
      <w:lang w:val="es-AR"/>
    </w:rPr>
  </w:style>
  <w:style w:type="paragraph" w:styleId="Asuntodelcomentario">
    <w:name w:val="annotation subject"/>
    <w:basedOn w:val="Textocomentario"/>
    <w:next w:val="Textocomentario"/>
    <w:link w:val="AsuntodelcomentarioCar"/>
    <w:uiPriority w:val="99"/>
    <w:semiHidden/>
    <w:unhideWhenUsed/>
    <w:rsid w:val="007420E5"/>
    <w:rPr>
      <w:b/>
      <w:bCs/>
    </w:rPr>
  </w:style>
  <w:style w:type="character" w:customStyle="1" w:styleId="AsuntodelcomentarioCar">
    <w:name w:val="Asunto del comentario Car"/>
    <w:basedOn w:val="TextocomentarioCar"/>
    <w:link w:val="Asuntodelcomentario"/>
    <w:uiPriority w:val="99"/>
    <w:semiHidden/>
    <w:rsid w:val="007420E5"/>
    <w:rPr>
      <w:rFonts w:ascii="Arial" w:eastAsia="Calibri" w:hAnsi="Arial" w:cs="Times New Roman"/>
      <w:b/>
      <w:bCs/>
      <w:sz w:val="20"/>
      <w:szCs w:val="20"/>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246551">
      <w:bodyDiv w:val="1"/>
      <w:marLeft w:val="0"/>
      <w:marRight w:val="0"/>
      <w:marTop w:val="0"/>
      <w:marBottom w:val="0"/>
      <w:divBdr>
        <w:top w:val="none" w:sz="0" w:space="0" w:color="auto"/>
        <w:left w:val="none" w:sz="0" w:space="0" w:color="auto"/>
        <w:bottom w:val="none" w:sz="0" w:space="0" w:color="auto"/>
        <w:right w:val="none" w:sz="0" w:space="0" w:color="auto"/>
      </w:divBdr>
    </w:div>
    <w:div w:id="134728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1526</Words>
  <Characters>8398</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Reyes, Luis Miguel</dc:creator>
  <cp:keywords/>
  <dc:description/>
  <cp:lastModifiedBy>Ferreiro, Emiliano</cp:lastModifiedBy>
  <cp:revision>6</cp:revision>
  <dcterms:created xsi:type="dcterms:W3CDTF">2026-01-19T20:08:00Z</dcterms:created>
  <dcterms:modified xsi:type="dcterms:W3CDTF">2026-01-23T21:25:00Z</dcterms:modified>
</cp:coreProperties>
</file>